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2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gridCol w:w="7281"/>
      </w:tblGrid>
      <w:tr w:rsidR="00DD3E4D" w:rsidRPr="00DD3E4D" w14:paraId="52428A5B" w14:textId="77777777" w:rsidTr="00E14E38">
        <w:trPr>
          <w:trHeight w:val="781"/>
        </w:trPr>
        <w:tc>
          <w:tcPr>
            <w:tcW w:w="7281" w:type="dxa"/>
          </w:tcPr>
          <w:p w14:paraId="5B3FECFD" w14:textId="77777777" w:rsidR="00DD3E4D" w:rsidRPr="00E14E38" w:rsidRDefault="00DD3E4D" w:rsidP="00DD3E4D">
            <w:pPr>
              <w:jc w:val="center"/>
              <w:rPr>
                <w:rFonts w:ascii="Times New Roman" w:hAnsi="Times New Roman" w:cs="Times New Roman"/>
                <w:b/>
                <w:bCs/>
                <w:sz w:val="26"/>
                <w:szCs w:val="26"/>
              </w:rPr>
            </w:pPr>
            <w:bookmarkStart w:id="0" w:name="_Hlk172614151"/>
            <w:r w:rsidRPr="00E14E38">
              <w:rPr>
                <w:rFonts w:ascii="Times New Roman" w:hAnsi="Times New Roman" w:cs="Times New Roman"/>
                <w:b/>
                <w:bCs/>
                <w:sz w:val="26"/>
                <w:szCs w:val="26"/>
              </w:rPr>
              <w:t>BỘ GIÁO DỤC VÀ ĐÀO TẠO</w:t>
            </w:r>
          </w:p>
          <w:p w14:paraId="566E79EB" w14:textId="24505901" w:rsidR="00DD3E4D" w:rsidRPr="00DD3E4D" w:rsidRDefault="00DD3E4D" w:rsidP="00DD3E4D">
            <w:pPr>
              <w:jc w:val="center"/>
              <w:rPr>
                <w:rFonts w:ascii="Times New Roman" w:hAnsi="Times New Roman" w:cs="Times New Roman"/>
                <w:b/>
                <w:sz w:val="28"/>
                <w:szCs w:val="28"/>
              </w:rPr>
            </w:pPr>
            <w:r w:rsidRPr="00DD3E4D">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49859E1F" wp14:editId="7C1985CC">
                      <wp:simplePos x="0" y="0"/>
                      <wp:positionH relativeFrom="column">
                        <wp:posOffset>1421130</wp:posOffset>
                      </wp:positionH>
                      <wp:positionV relativeFrom="paragraph">
                        <wp:posOffset>56515</wp:posOffset>
                      </wp:positionV>
                      <wp:extent cx="163741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4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5DBE2B3"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1.9pt,4.45pt" to="240.8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DVMtQEAALcDAAAOAAAAZHJzL2Uyb0RvYy54bWysU8FuEzEQvSPxD5bvZJNSFbTKpodUcEEQ&#10;UfoBrnectbA91thkN3/P2Em2CBBCVS9ej/3ezLzn2fXt5J04ACWLoZOrxVIKCBp7G/adfPj24c1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" strokecolor="black [3200]" strokeweight=".5pt">
                      <v:stroke joinstyle="miter"/>
                    </v:line>
                  </w:pict>
                </mc:Fallback>
              </mc:AlternateContent>
            </w:r>
          </w:p>
        </w:tc>
        <w:tc>
          <w:tcPr>
            <w:tcW w:w="7281" w:type="dxa"/>
          </w:tcPr>
          <w:p w14:paraId="2BEE233C" w14:textId="7C3D9BE8" w:rsidR="00DD3E4D" w:rsidRPr="00DD3E4D" w:rsidRDefault="00E14E38" w:rsidP="00DD3E4D">
            <w:pPr>
              <w:jc w:val="center"/>
              <w:rPr>
                <w:rFonts w:ascii="Times New Roman" w:hAnsi="Times New Roman" w:cs="Times New Roman"/>
                <w:b/>
                <w:sz w:val="28"/>
                <w:szCs w:val="28"/>
              </w:rPr>
            </w:pPr>
            <w:r w:rsidRPr="00DD3E4D">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5C1DDE19" wp14:editId="1CBAF0CC">
                      <wp:simplePos x="0" y="0"/>
                      <wp:positionH relativeFrom="column">
                        <wp:posOffset>1146175</wp:posOffset>
                      </wp:positionH>
                      <wp:positionV relativeFrom="paragraph">
                        <wp:posOffset>421269</wp:posOffset>
                      </wp:positionV>
                      <wp:extent cx="22104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F7B948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25pt,33.15pt" to="264.3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"/>
                  </w:pict>
                </mc:Fallback>
              </mc:AlternateContent>
            </w:r>
            <w:r w:rsidR="00DD3E4D" w:rsidRPr="00DD3E4D">
              <w:rPr>
                <w:rFonts w:ascii="Times New Roman" w:hAnsi="Times New Roman" w:cs="Times New Roman"/>
                <w:b/>
                <w:bCs/>
                <w:sz w:val="26"/>
                <w:szCs w:val="26"/>
                <w:lang w:val="vi-VN"/>
              </w:rPr>
              <w:t>CỘNG HÒA XÃ HỘI CHỦ NGHĨA VIỆT NAM</w:t>
            </w:r>
            <w:r w:rsidR="00DD3E4D" w:rsidRPr="00DD3E4D">
              <w:rPr>
                <w:rFonts w:ascii="Times New Roman" w:hAnsi="Times New Roman" w:cs="Times New Roman"/>
                <w:b/>
                <w:bCs/>
                <w:sz w:val="28"/>
                <w:szCs w:val="28"/>
                <w:lang w:val="vi-VN"/>
              </w:rPr>
              <w:br/>
              <w:t>Độc lập - Tự do - Hạnh phúc</w:t>
            </w:r>
          </w:p>
        </w:tc>
        <w:tc>
          <w:tcPr>
            <w:tcW w:w="7281" w:type="dxa"/>
          </w:tcPr>
          <w:p w14:paraId="67480DB3" w14:textId="7E3AAC3A" w:rsidR="00DD3E4D" w:rsidRPr="00DD3E4D" w:rsidRDefault="00DD3E4D" w:rsidP="00DD3E4D">
            <w:pPr>
              <w:jc w:val="center"/>
              <w:rPr>
                <w:rFonts w:ascii="Times New Roman" w:hAnsi="Times New Roman" w:cs="Times New Roman"/>
                <w:b/>
                <w:sz w:val="28"/>
                <w:szCs w:val="28"/>
              </w:rPr>
            </w:pPr>
          </w:p>
        </w:tc>
      </w:tr>
      <w:tr w:rsidR="00DD3E4D" w:rsidRPr="00DD3E4D" w14:paraId="75353BAE" w14:textId="77777777" w:rsidTr="00EA6387">
        <w:trPr>
          <w:trHeight w:val="494"/>
        </w:trPr>
        <w:tc>
          <w:tcPr>
            <w:tcW w:w="7281" w:type="dxa"/>
          </w:tcPr>
          <w:p w14:paraId="5DC2A856" w14:textId="77777777" w:rsidR="00DD3E4D" w:rsidRPr="00DD3E4D" w:rsidRDefault="00DD3E4D" w:rsidP="00DD3E4D">
            <w:pPr>
              <w:jc w:val="center"/>
              <w:rPr>
                <w:rFonts w:ascii="Times New Roman" w:hAnsi="Times New Roman" w:cs="Times New Roman"/>
                <w:b/>
                <w:sz w:val="28"/>
                <w:szCs w:val="28"/>
              </w:rPr>
            </w:pPr>
          </w:p>
        </w:tc>
        <w:tc>
          <w:tcPr>
            <w:tcW w:w="7281" w:type="dxa"/>
          </w:tcPr>
          <w:p w14:paraId="17A4395C" w14:textId="7A9D366B" w:rsidR="00DD3E4D" w:rsidRPr="00EA6387" w:rsidRDefault="00DD3E4D" w:rsidP="00DD3E4D">
            <w:pPr>
              <w:jc w:val="center"/>
              <w:rPr>
                <w:rFonts w:ascii="Times New Roman" w:hAnsi="Times New Roman" w:cs="Times New Roman"/>
                <w:b/>
                <w:sz w:val="28"/>
                <w:szCs w:val="28"/>
              </w:rPr>
            </w:pPr>
            <w:r w:rsidRPr="00EA6387">
              <w:rPr>
                <w:rFonts w:ascii="Times New Roman" w:hAnsi="Times New Roman" w:cs="Times New Roman"/>
                <w:i/>
                <w:iCs/>
                <w:sz w:val="28"/>
                <w:szCs w:val="28"/>
                <w:lang w:val="vi-VN"/>
              </w:rPr>
              <w:t xml:space="preserve">Hà Nội, ngày </w:t>
            </w:r>
            <w:r w:rsidR="00234644" w:rsidRPr="00EA6387">
              <w:rPr>
                <w:rFonts w:ascii="Times New Roman" w:hAnsi="Times New Roman" w:cs="Times New Roman"/>
                <w:i/>
                <w:iCs/>
                <w:sz w:val="28"/>
                <w:szCs w:val="28"/>
              </w:rPr>
              <w:t>05</w:t>
            </w:r>
            <w:r w:rsidRPr="00EA6387">
              <w:rPr>
                <w:rFonts w:ascii="Times New Roman" w:hAnsi="Times New Roman" w:cs="Times New Roman"/>
                <w:i/>
                <w:iCs/>
                <w:sz w:val="28"/>
                <w:szCs w:val="28"/>
              </w:rPr>
              <w:t xml:space="preserve"> </w:t>
            </w:r>
            <w:r w:rsidRPr="00EA6387">
              <w:rPr>
                <w:rFonts w:ascii="Times New Roman" w:hAnsi="Times New Roman" w:cs="Times New Roman"/>
                <w:i/>
                <w:iCs/>
                <w:sz w:val="28"/>
                <w:szCs w:val="28"/>
                <w:lang w:val="vi-VN"/>
              </w:rPr>
              <w:t>tháng</w:t>
            </w:r>
            <w:r w:rsidRPr="00EA6387">
              <w:rPr>
                <w:rFonts w:ascii="Times New Roman" w:hAnsi="Times New Roman" w:cs="Times New Roman"/>
                <w:i/>
                <w:iCs/>
                <w:sz w:val="28"/>
                <w:szCs w:val="28"/>
              </w:rPr>
              <w:t xml:space="preserve"> </w:t>
            </w:r>
            <w:r w:rsidR="006D5158" w:rsidRPr="00EA6387">
              <w:rPr>
                <w:rFonts w:ascii="Times New Roman" w:hAnsi="Times New Roman" w:cs="Times New Roman"/>
                <w:i/>
                <w:iCs/>
                <w:sz w:val="28"/>
                <w:szCs w:val="28"/>
              </w:rPr>
              <w:t>1</w:t>
            </w:r>
            <w:r w:rsidR="00234644" w:rsidRPr="00EA6387">
              <w:rPr>
                <w:rFonts w:ascii="Times New Roman" w:hAnsi="Times New Roman" w:cs="Times New Roman"/>
                <w:i/>
                <w:iCs/>
                <w:sz w:val="28"/>
                <w:szCs w:val="28"/>
              </w:rPr>
              <w:t>2</w:t>
            </w:r>
            <w:r w:rsidRPr="00EA6387">
              <w:rPr>
                <w:rFonts w:ascii="Times New Roman" w:hAnsi="Times New Roman" w:cs="Times New Roman"/>
                <w:i/>
                <w:iCs/>
                <w:sz w:val="28"/>
                <w:szCs w:val="28"/>
              </w:rPr>
              <w:t xml:space="preserve"> </w:t>
            </w:r>
            <w:r w:rsidRPr="00EA6387">
              <w:rPr>
                <w:rFonts w:ascii="Times New Roman" w:hAnsi="Times New Roman" w:cs="Times New Roman"/>
                <w:i/>
                <w:iCs/>
                <w:sz w:val="28"/>
                <w:szCs w:val="28"/>
                <w:lang w:val="vi-VN"/>
              </w:rPr>
              <w:t>năm 20</w:t>
            </w:r>
            <w:r w:rsidRPr="00EA6387">
              <w:rPr>
                <w:rFonts w:ascii="Times New Roman" w:hAnsi="Times New Roman" w:cs="Times New Roman"/>
                <w:i/>
                <w:iCs/>
                <w:sz w:val="28"/>
                <w:szCs w:val="28"/>
              </w:rPr>
              <w:t>25</w:t>
            </w:r>
          </w:p>
        </w:tc>
        <w:tc>
          <w:tcPr>
            <w:tcW w:w="7281" w:type="dxa"/>
          </w:tcPr>
          <w:p w14:paraId="0FC0DEEF" w14:textId="69CA7981" w:rsidR="00DD3E4D" w:rsidRPr="00DD3E4D" w:rsidRDefault="00DD3E4D" w:rsidP="00DD3E4D">
            <w:pPr>
              <w:jc w:val="center"/>
              <w:rPr>
                <w:rFonts w:ascii="Times New Roman" w:hAnsi="Times New Roman" w:cs="Times New Roman"/>
                <w:b/>
                <w:sz w:val="28"/>
                <w:szCs w:val="28"/>
              </w:rPr>
            </w:pPr>
          </w:p>
        </w:tc>
      </w:tr>
    </w:tbl>
    <w:p w14:paraId="7D905DE3" w14:textId="77777777" w:rsidR="00093E6E" w:rsidRDefault="00DD3E4D" w:rsidP="00BF47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BẢN </w:t>
      </w:r>
      <w:r w:rsidR="008B28E9" w:rsidRPr="00A966A4">
        <w:rPr>
          <w:rFonts w:ascii="Times New Roman" w:hAnsi="Times New Roman" w:cs="Times New Roman"/>
          <w:b/>
          <w:sz w:val="28"/>
          <w:szCs w:val="28"/>
        </w:rPr>
        <w:t>TỔNG HỢP Ý KIẾN</w:t>
      </w:r>
      <w:r>
        <w:rPr>
          <w:rFonts w:ascii="Times New Roman" w:hAnsi="Times New Roman" w:cs="Times New Roman"/>
          <w:b/>
          <w:sz w:val="28"/>
          <w:szCs w:val="28"/>
        </w:rPr>
        <w:t>, TIẾP THU, GIẢI TRÌNH Ý KIẾN</w:t>
      </w:r>
      <w:r w:rsidR="008B28E9" w:rsidRPr="00A966A4">
        <w:rPr>
          <w:rFonts w:ascii="Times New Roman" w:hAnsi="Times New Roman" w:cs="Times New Roman"/>
          <w:b/>
          <w:sz w:val="28"/>
          <w:szCs w:val="28"/>
        </w:rPr>
        <w:t xml:space="preserve"> GÓP Ý</w:t>
      </w:r>
    </w:p>
    <w:p w14:paraId="67FCEAD5" w14:textId="03F3E2A0" w:rsidR="008B28E9" w:rsidRPr="00A966A4" w:rsidRDefault="008B28E9" w:rsidP="00BF47EE">
      <w:pPr>
        <w:spacing w:after="0" w:line="240" w:lineRule="auto"/>
        <w:jc w:val="center"/>
        <w:rPr>
          <w:rFonts w:ascii="Times New Roman" w:hAnsi="Times New Roman" w:cs="Times New Roman"/>
          <w:b/>
          <w:sz w:val="28"/>
          <w:szCs w:val="28"/>
        </w:rPr>
      </w:pPr>
      <w:r w:rsidRPr="00A966A4">
        <w:rPr>
          <w:rFonts w:ascii="Times New Roman" w:hAnsi="Times New Roman" w:cs="Times New Roman"/>
          <w:b/>
          <w:sz w:val="28"/>
          <w:szCs w:val="28"/>
        </w:rPr>
        <w:t>CỦA</w:t>
      </w:r>
      <w:r w:rsidR="007C2FC0" w:rsidRPr="00A966A4">
        <w:rPr>
          <w:rFonts w:ascii="Times New Roman" w:hAnsi="Times New Roman" w:cs="Times New Roman"/>
          <w:b/>
          <w:sz w:val="28"/>
          <w:szCs w:val="28"/>
        </w:rPr>
        <w:t xml:space="preserve"> CÁC </w:t>
      </w:r>
      <w:r w:rsidR="00E14E38">
        <w:rPr>
          <w:rFonts w:ascii="Times New Roman" w:hAnsi="Times New Roman" w:cs="Times New Roman"/>
          <w:b/>
          <w:sz w:val="28"/>
          <w:szCs w:val="28"/>
        </w:rPr>
        <w:t xml:space="preserve">CƠ SỞ GIÁO DỤC ĐẠI HỌC, </w:t>
      </w:r>
      <w:r w:rsidR="00436437">
        <w:rPr>
          <w:rFonts w:ascii="Times New Roman" w:hAnsi="Times New Roman" w:cs="Times New Roman"/>
          <w:b/>
          <w:sz w:val="28"/>
          <w:szCs w:val="28"/>
        </w:rPr>
        <w:t>NGHỀ NGHIỆP</w:t>
      </w:r>
      <w:r w:rsidR="00E14E38">
        <w:rPr>
          <w:rFonts w:ascii="Times New Roman" w:hAnsi="Times New Roman" w:cs="Times New Roman"/>
          <w:b/>
          <w:sz w:val="28"/>
          <w:szCs w:val="28"/>
        </w:rPr>
        <w:t xml:space="preserve"> TRỰC THUỘC BỘ GIÁO DỤC VÀ ĐÀO TẠO</w:t>
      </w:r>
    </w:p>
    <w:bookmarkEnd w:id="0"/>
    <w:p w14:paraId="6CC9EB7B" w14:textId="5D828FEB" w:rsidR="00335E17" w:rsidRPr="001D5BD9" w:rsidRDefault="00171629" w:rsidP="00234644">
      <w:pPr>
        <w:spacing w:after="0" w:line="240" w:lineRule="auto"/>
        <w:jc w:val="center"/>
        <w:rPr>
          <w:rFonts w:ascii="Times New Roman" w:hAnsi="Times New Roman" w:cs="Times New Roman"/>
          <w:b/>
          <w:sz w:val="28"/>
          <w:szCs w:val="28"/>
        </w:rPr>
      </w:pPr>
      <w:r w:rsidRPr="00DD3E4D">
        <w:rPr>
          <w:rFonts w:ascii="Times New Roman" w:hAnsi="Times New Roman" w:cs="Times New Roman"/>
          <w:b/>
          <w:sz w:val="28"/>
          <w:szCs w:val="28"/>
        </w:rPr>
        <w:t xml:space="preserve">Về dự thảo </w:t>
      </w:r>
      <w:r w:rsidR="00234644">
        <w:rPr>
          <w:rFonts w:ascii="Times New Roman" w:hAnsi="Times New Roman" w:cs="Times New Roman"/>
          <w:b/>
          <w:sz w:val="28"/>
          <w:szCs w:val="28"/>
        </w:rPr>
        <w:t>N</w:t>
      </w:r>
      <w:r w:rsidR="00234644" w:rsidRPr="00234644">
        <w:rPr>
          <w:rFonts w:ascii="Times New Roman" w:hAnsi="Times New Roman" w:cs="Times New Roman"/>
          <w:b/>
          <w:sz w:val="28"/>
          <w:szCs w:val="28"/>
        </w:rPr>
        <w:t>ghị định quy định chính sách tiền lương, chế độ phụ cấp đối với nhà giáo</w:t>
      </w:r>
    </w:p>
    <w:p w14:paraId="195BC26D" w14:textId="796407B8" w:rsidR="00DA3F7A" w:rsidRPr="00A966A4" w:rsidRDefault="00DA3F7A" w:rsidP="00DA3F7A">
      <w:pPr>
        <w:pStyle w:val="NormalWeb"/>
        <w:spacing w:before="0" w:beforeAutospacing="0" w:after="0" w:afterAutospacing="0"/>
        <w:jc w:val="center"/>
        <w:rPr>
          <w:i/>
          <w:sz w:val="28"/>
          <w:szCs w:val="28"/>
        </w:rPr>
      </w:pPr>
    </w:p>
    <w:p w14:paraId="703E8312" w14:textId="6FAF67EA" w:rsidR="002D7770" w:rsidRPr="00DA2335" w:rsidRDefault="001D5BD9" w:rsidP="00DA2335">
      <w:pPr>
        <w:tabs>
          <w:tab w:val="left" w:pos="993"/>
          <w:tab w:val="left" w:pos="1276"/>
        </w:tabs>
        <w:spacing w:after="120" w:line="240" w:lineRule="auto"/>
        <w:ind w:firstLine="709"/>
        <w:jc w:val="both"/>
        <w:rPr>
          <w:rFonts w:ascii="Times New Roman" w:hAnsi="Times New Roman" w:cs="Times New Roman"/>
          <w:iCs/>
          <w:sz w:val="28"/>
          <w:szCs w:val="28"/>
        </w:rPr>
      </w:pPr>
      <w:r w:rsidRPr="00DA2335">
        <w:rPr>
          <w:rFonts w:ascii="Times New Roman" w:hAnsi="Times New Roman" w:cs="Times New Roman"/>
          <w:sz w:val="28"/>
          <w:szCs w:val="28"/>
        </w:rPr>
        <w:t xml:space="preserve">Căn cứ Luật Ban hành văn bản quy phạm pháp luật, Cục Nhà giáo và Cán bộ quản lý giáo dục đã tổ chức lấy ý kiến đối với </w:t>
      </w:r>
      <w:r w:rsidRPr="00DA2335">
        <w:rPr>
          <w:rFonts w:ascii="Times New Roman" w:hAnsi="Times New Roman" w:cs="Times New Roman"/>
          <w:iCs/>
          <w:sz w:val="28"/>
          <w:szCs w:val="28"/>
        </w:rPr>
        <w:t>dự thảo</w:t>
      </w:r>
      <w:r w:rsidR="00F771BD" w:rsidRPr="00DA2335">
        <w:rPr>
          <w:rFonts w:ascii="Times New Roman" w:hAnsi="Times New Roman" w:cs="Times New Roman"/>
          <w:iCs/>
          <w:sz w:val="28"/>
          <w:szCs w:val="28"/>
        </w:rPr>
        <w:t xml:space="preserve"> Hồ sơ</w:t>
      </w:r>
      <w:r w:rsidRPr="00DA2335">
        <w:rPr>
          <w:rFonts w:ascii="Times New Roman" w:hAnsi="Times New Roman" w:cs="Times New Roman"/>
          <w:iCs/>
          <w:sz w:val="28"/>
          <w:szCs w:val="28"/>
        </w:rPr>
        <w:t xml:space="preserve"> </w:t>
      </w:r>
      <w:r w:rsidR="00234644" w:rsidRPr="00DA2335">
        <w:rPr>
          <w:rFonts w:ascii="Times New Roman" w:hAnsi="Times New Roman" w:cs="Times New Roman"/>
          <w:sz w:val="28"/>
          <w:szCs w:val="28"/>
        </w:rPr>
        <w:t>Nghị định quy định chính sách tiền lương, chế độ phụ cấp đối với nhà giáo</w:t>
      </w:r>
      <w:r w:rsidR="002F055A" w:rsidRPr="00DA2335">
        <w:rPr>
          <w:rFonts w:ascii="Times New Roman" w:hAnsi="Times New Roman" w:cs="Times New Roman"/>
          <w:iCs/>
          <w:sz w:val="28"/>
          <w:szCs w:val="28"/>
        </w:rPr>
        <w:t>.</w:t>
      </w:r>
    </w:p>
    <w:p w14:paraId="301DAE39" w14:textId="4D08862B" w:rsidR="00CC5FB4" w:rsidRPr="00DA2335" w:rsidRDefault="00CC5FB4" w:rsidP="00DA2335">
      <w:pPr>
        <w:tabs>
          <w:tab w:val="left" w:pos="993"/>
          <w:tab w:val="left" w:pos="1276"/>
        </w:tabs>
        <w:spacing w:after="120" w:line="240" w:lineRule="auto"/>
        <w:ind w:firstLine="709"/>
        <w:jc w:val="both"/>
        <w:rPr>
          <w:rFonts w:ascii="Times New Roman" w:hAnsi="Times New Roman" w:cs="Times New Roman"/>
          <w:b/>
          <w:sz w:val="28"/>
          <w:szCs w:val="28"/>
        </w:rPr>
      </w:pPr>
      <w:r w:rsidRPr="00DA2335">
        <w:rPr>
          <w:rFonts w:ascii="Times New Roman" w:hAnsi="Times New Roman" w:cs="Times New Roman"/>
          <w:b/>
          <w:sz w:val="28"/>
          <w:szCs w:val="28"/>
        </w:rPr>
        <w:t>I. SỐ ĐƠN VỊ GỬI GÓP Ý</w:t>
      </w:r>
    </w:p>
    <w:p w14:paraId="14B35AD1" w14:textId="7E0E0D7B" w:rsidR="002F055A" w:rsidRPr="00DA2335" w:rsidRDefault="002F055A" w:rsidP="00DA2335">
      <w:pPr>
        <w:tabs>
          <w:tab w:val="left" w:pos="993"/>
          <w:tab w:val="left" w:pos="1276"/>
        </w:tabs>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xml:space="preserve">Cục Nhà giáo và Cán bộ quản lý giáo dục nhận được tổng số </w:t>
      </w:r>
      <w:r w:rsidR="006D5158" w:rsidRPr="00DA2335">
        <w:rPr>
          <w:rFonts w:ascii="Times New Roman" w:hAnsi="Times New Roman" w:cs="Times New Roman"/>
          <w:sz w:val="28"/>
          <w:szCs w:val="28"/>
        </w:rPr>
        <w:t xml:space="preserve">văn bản góp ý của </w:t>
      </w:r>
      <w:r w:rsidR="00EF385A" w:rsidRPr="00DA2335">
        <w:rPr>
          <w:rFonts w:ascii="Times New Roman" w:hAnsi="Times New Roman" w:cs="Times New Roman"/>
          <w:sz w:val="28"/>
          <w:szCs w:val="28"/>
        </w:rPr>
        <w:t>43</w:t>
      </w:r>
      <w:r w:rsidR="00E14E38" w:rsidRPr="00DA2335">
        <w:rPr>
          <w:rFonts w:ascii="Times New Roman" w:hAnsi="Times New Roman" w:cs="Times New Roman"/>
          <w:sz w:val="28"/>
          <w:szCs w:val="28"/>
        </w:rPr>
        <w:t xml:space="preserve"> cơ sở giáo dục đại học,</w:t>
      </w:r>
      <w:r w:rsidR="00496156" w:rsidRPr="00DA2335">
        <w:rPr>
          <w:rFonts w:ascii="Times New Roman" w:hAnsi="Times New Roman" w:cs="Times New Roman"/>
          <w:sz w:val="28"/>
          <w:szCs w:val="28"/>
        </w:rPr>
        <w:t xml:space="preserve"> </w:t>
      </w:r>
      <w:r w:rsidR="007C0415" w:rsidRPr="00DA2335">
        <w:rPr>
          <w:rFonts w:ascii="Times New Roman" w:hAnsi="Times New Roman" w:cs="Times New Roman"/>
          <w:sz w:val="28"/>
          <w:szCs w:val="28"/>
        </w:rPr>
        <w:t>6</w:t>
      </w:r>
      <w:r w:rsidR="00496156" w:rsidRPr="00DA2335">
        <w:rPr>
          <w:rFonts w:ascii="Times New Roman" w:hAnsi="Times New Roman" w:cs="Times New Roman"/>
          <w:sz w:val="28"/>
          <w:szCs w:val="28"/>
        </w:rPr>
        <w:t xml:space="preserve"> cơ sở giáo dục </w:t>
      </w:r>
      <w:r w:rsidR="007C0415" w:rsidRPr="00DA2335">
        <w:rPr>
          <w:rFonts w:ascii="Times New Roman" w:hAnsi="Times New Roman" w:cs="Times New Roman"/>
          <w:sz w:val="28"/>
          <w:szCs w:val="28"/>
        </w:rPr>
        <w:t>nghề nghiệp</w:t>
      </w:r>
      <w:r w:rsidR="00E14E38" w:rsidRPr="00DA2335">
        <w:rPr>
          <w:rFonts w:ascii="Times New Roman" w:hAnsi="Times New Roman" w:cs="Times New Roman"/>
          <w:sz w:val="28"/>
          <w:szCs w:val="28"/>
        </w:rPr>
        <w:t xml:space="preserve"> trực thuộc Bộ Giáo dục và Đào tạo.</w:t>
      </w:r>
    </w:p>
    <w:p w14:paraId="5FD53BF5" w14:textId="3D220CE1" w:rsidR="00CC5FB4" w:rsidRPr="00DA2335" w:rsidRDefault="00CC5FB4" w:rsidP="00DA2335">
      <w:pPr>
        <w:tabs>
          <w:tab w:val="left" w:pos="993"/>
          <w:tab w:val="left" w:pos="1276"/>
        </w:tabs>
        <w:spacing w:after="120" w:line="240" w:lineRule="auto"/>
        <w:ind w:firstLine="709"/>
        <w:jc w:val="both"/>
        <w:rPr>
          <w:rFonts w:ascii="Times New Roman" w:hAnsi="Times New Roman" w:cs="Times New Roman"/>
          <w:b/>
          <w:sz w:val="28"/>
          <w:szCs w:val="28"/>
        </w:rPr>
      </w:pPr>
      <w:r w:rsidRPr="00DA2335">
        <w:rPr>
          <w:rFonts w:ascii="Times New Roman" w:hAnsi="Times New Roman" w:cs="Times New Roman"/>
          <w:b/>
          <w:sz w:val="28"/>
          <w:szCs w:val="28"/>
        </w:rPr>
        <w:t>II. KẾT QUẢ CỤ THỂ NHƯ SAU</w:t>
      </w:r>
    </w:p>
    <w:p w14:paraId="3870F91A" w14:textId="441119D4" w:rsidR="00496156" w:rsidRPr="00DA2335" w:rsidRDefault="009B611E" w:rsidP="00DA2335">
      <w:pPr>
        <w:tabs>
          <w:tab w:val="left" w:pos="993"/>
          <w:tab w:val="left" w:pos="1276"/>
        </w:tabs>
        <w:spacing w:after="120" w:line="240" w:lineRule="auto"/>
        <w:ind w:firstLine="709"/>
        <w:jc w:val="both"/>
        <w:rPr>
          <w:rFonts w:ascii="Times New Roman" w:hAnsi="Times New Roman" w:cs="Times New Roman"/>
          <w:b/>
          <w:sz w:val="28"/>
          <w:szCs w:val="28"/>
        </w:rPr>
      </w:pPr>
      <w:r w:rsidRPr="00DA2335">
        <w:rPr>
          <w:rFonts w:ascii="Times New Roman" w:hAnsi="Times New Roman" w:cs="Times New Roman"/>
          <w:b/>
          <w:sz w:val="28"/>
          <w:szCs w:val="28"/>
        </w:rPr>
        <w:t>1. Vướng mắc, bất cập hiện hành</w:t>
      </w:r>
    </w:p>
    <w:p w14:paraId="5192040C" w14:textId="77777777" w:rsidR="00EF385A" w:rsidRPr="00DA2335" w:rsidRDefault="00EF385A" w:rsidP="00DA2335">
      <w:pPr>
        <w:tabs>
          <w:tab w:val="center" w:leader="dot" w:pos="9072"/>
        </w:tabs>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Chưa phản ánh đúng đặc thù nghề nghiệp và khối lượng công việc của nhà giáo: Hiện nay, mức lương và phụ cấp của đội ngũ giảng viên, cán bộ quản lý giáo dục chủ yếu được xếp theo thang bảng lương hành chính sự nghiệp chung, chưa tính đủ yếu tố đặc thù về chuyên môn, trách nhiệm giảng dạy – nghiên cứu – phục vụ cộng đồng. Điều này làm giảm động lực và chưa tương xứng với yêu cầu nâng cao chất lượng đào tạo đại học trong bối cảnh hội nhập.</w:t>
      </w:r>
    </w:p>
    <w:p w14:paraId="6266C85E" w14:textId="77777777"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xml:space="preserve">- Bất cập trong việc thiết kế bảng lương hiện nay: quy định về bậc lương, hệ số lương được áp dụng chung đối với tất cả viên chức các ngành/lĩnh vực dẫn đến việc không thể hiện được mức độ phức tạp của từng ngành, nghề khác nhau. </w:t>
      </w:r>
    </w:p>
    <w:p w14:paraId="554597BB" w14:textId="7120786C"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xml:space="preserve">- Chênh lệch về hệ số lương trong bảng lương giữa các bậc lương còn quá ít. </w:t>
      </w:r>
      <w:r w:rsidR="00EF385A" w:rsidRPr="00DA2335">
        <w:rPr>
          <w:rFonts w:ascii="Times New Roman" w:hAnsi="Times New Roman" w:cs="Times New Roman"/>
          <w:sz w:val="28"/>
          <w:szCs w:val="28"/>
        </w:rPr>
        <w:t>Khoảng cách thu nhập giữa các cơ sở giáo dục còn lớn: Các cơ sở giáo dục đại học tự chủ tài chính có thể cải thiện thu nhập cho giảng viên thông qua nguồn thu sự nghiệp, trong khi nhiều trường vẫn phụ thuộc vào ngân sách nhà nước. Cơ chế hiện hành chưa có hướng dẫn thống nhất, dẫn đến chênh lệch thu nhập giữa các đơn vị cùng ngành, gây khó khăn trong công tác thu hút và giữ chân nhân lực chất lượng cao.</w:t>
      </w:r>
    </w:p>
    <w:p w14:paraId="05FA1E17" w14:textId="77777777"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lastRenderedPageBreak/>
        <w:t xml:space="preserve">- Thực tế cách trả lương theo các bảng – loại – bậc như hiện hành thì việc trả lương đang căn cứ theo chức danh được bổ nhiệm – trình độ đào tạo – thâm niên công tác chứ chưa phản ánh được việc trả lương phải gắn với kết quả thực hiện nhiệm vụ. </w:t>
      </w:r>
    </w:p>
    <w:p w14:paraId="112C7AC3" w14:textId="77777777"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xml:space="preserve">- Có khoảng cách chênh lệch lớn giữa lương của nhà giáo mới tuyển dụng và nhà giáo lâu năm (hệ số cao hơn, phụ cấp thâm niên cao hơn, phụ cấp ưu đãi nghề tuy bằng nhau nhưng tính theo hệ số lương nên càng cách biệt) trong khi cùng thực hiện các nhiệm vụ. </w:t>
      </w:r>
    </w:p>
    <w:p w14:paraId="09DB00CB" w14:textId="77777777"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xml:space="preserve">- Việc chưa được tính hưởng phụ cấp thâm niên đối với nhà giáo mới tuyển dụng khi trong 05 năm công tác đầu chỉ được hưởng lương theo hệ số lương và phụ cấp ưu đãi, nên tổng thu nhập vẫn còn thấp, do đó, còn có khoảng cách chênh lệch xa so với giáo viên lâu năm dù các nhiệm vụ cơ bản như nhau. </w:t>
      </w:r>
    </w:p>
    <w:p w14:paraId="35A3EE25" w14:textId="726E3B04" w:rsidR="008110D1" w:rsidRPr="00DA2335" w:rsidRDefault="008110D1"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Chức danh giáo sư là chức danh cao nhất của giảng viên, nhưng hiện đang xếp lương chung với phó giáo sư và các chức danh giảng viên cao cấp hạng I khác, mặc dù đã được xếp cao hơn 1 bậc khi bổ nhiệm chức danh giáo sư nhưng việc sử dụng chung thang lương chưa thể hiện được cấp bậc, vị trí, vai trò dẫn dắt chuyên môn của giáo sư trong cơ sở giáo dục Đại học.</w:t>
      </w:r>
    </w:p>
    <w:p w14:paraId="37EDD176" w14:textId="77777777" w:rsidR="00665CC6" w:rsidRPr="00DA2335" w:rsidRDefault="00665CC6" w:rsidP="00DA2335">
      <w:pPr>
        <w:tabs>
          <w:tab w:val="center" w:leader="dot" w:pos="9072"/>
        </w:tabs>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Thiếu quy định cụ thể cho các hình thức giảng dạy và hoạt động đặc thù: Giảng viên dạy các chương trình liên kết quốc tế, dạy bằng ngoại ngữ hoặc hướng dẫn thực tập tại doanh nghiệp chưa được xác định rõ mức phụ cấp đặc thù, trong khi khối lượng và áp lực công việc cao hơn đáng kể so với giảng dạy thông thường.</w:t>
      </w:r>
    </w:p>
    <w:p w14:paraId="39896778" w14:textId="77777777" w:rsidR="00665CC6" w:rsidRPr="00DA2335" w:rsidRDefault="00665CC6" w:rsidP="00DA2335">
      <w:pPr>
        <w:tabs>
          <w:tab w:val="center" w:leader="dot" w:pos="9072"/>
        </w:tabs>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Chưa có hướng dẫn chi tiết về cơ chế trả lương, phụ cấp trong đơn vị tự chủ: Hiện nay, các trường đại học tự chủ phải tự xây dựng quy chế chi trả, song chưa có khung hướng dẫn cụ thể để đảm bảo tính thống nhất với quy định của Nhà nước. Việc áp dụng các quy định hiện hành đôi khi gây vướng mắc trong thanh tra, kiểm toán và thẩm định quỹ tiền lương.</w:t>
      </w:r>
    </w:p>
    <w:p w14:paraId="797F6A16" w14:textId="1B10194C" w:rsidR="00EC766E" w:rsidRPr="00DA2335" w:rsidRDefault="00EF385A" w:rsidP="00DA2335">
      <w:pPr>
        <w:tabs>
          <w:tab w:val="left" w:pos="993"/>
          <w:tab w:val="left" w:pos="1276"/>
        </w:tabs>
        <w:spacing w:after="120" w:line="240" w:lineRule="auto"/>
        <w:ind w:firstLine="709"/>
        <w:jc w:val="both"/>
        <w:rPr>
          <w:rFonts w:ascii="Times New Roman" w:hAnsi="Times New Roman" w:cs="Times New Roman"/>
          <w:bCs/>
          <w:sz w:val="28"/>
          <w:szCs w:val="28"/>
        </w:rPr>
      </w:pPr>
      <w:r w:rsidRPr="00DA2335">
        <w:rPr>
          <w:rFonts w:ascii="Times New Roman" w:hAnsi="Times New Roman" w:cs="Times New Roman"/>
          <w:bCs/>
          <w:sz w:val="28"/>
          <w:szCs w:val="28"/>
        </w:rPr>
        <w:t xml:space="preserve">- </w:t>
      </w:r>
      <w:r w:rsidR="00EC766E" w:rsidRPr="00DA2335">
        <w:rPr>
          <w:rFonts w:ascii="Times New Roman" w:hAnsi="Times New Roman" w:cs="Times New Roman"/>
          <w:bCs/>
          <w:sz w:val="28"/>
          <w:szCs w:val="28"/>
        </w:rPr>
        <w:t>Giáo viên dạy nghề thường xuyên tiếp xúc với môi trường độc hại (hàn, tiện, phay, điện công nghiệp,…) song chưa được hưởng phụ cấp độc hại, nguy hiểm đúng mức.</w:t>
      </w:r>
    </w:p>
    <w:p w14:paraId="4C895C0E" w14:textId="15E8D0F5" w:rsidR="00EC766E" w:rsidRPr="00EF385A" w:rsidRDefault="00F20B49" w:rsidP="00496156">
      <w:pPr>
        <w:tabs>
          <w:tab w:val="left" w:pos="993"/>
          <w:tab w:val="left" w:pos="1276"/>
        </w:tabs>
        <w:spacing w:before="120" w:after="120" w:line="240" w:lineRule="auto"/>
        <w:ind w:firstLine="709"/>
        <w:jc w:val="both"/>
        <w:rPr>
          <w:rFonts w:ascii="Times New Roman" w:hAnsi="Times New Roman" w:cs="Times New Roman"/>
          <w:b/>
          <w:sz w:val="28"/>
          <w:szCs w:val="28"/>
        </w:rPr>
      </w:pPr>
      <w:r w:rsidRPr="00EF385A">
        <w:rPr>
          <w:rFonts w:ascii="Times New Roman" w:hAnsi="Times New Roman" w:cs="Times New Roman"/>
          <w:b/>
          <w:sz w:val="28"/>
          <w:szCs w:val="28"/>
        </w:rPr>
        <w:t>2. Góp ý dự thảo Tờ trình</w:t>
      </w:r>
    </w:p>
    <w:tbl>
      <w:tblPr>
        <w:tblStyle w:val="TableGrid"/>
        <w:tblW w:w="14737" w:type="dxa"/>
        <w:jc w:val="center"/>
        <w:tblLook w:val="04A0" w:firstRow="1" w:lastRow="0" w:firstColumn="1" w:lastColumn="0" w:noHBand="0" w:noVBand="1"/>
      </w:tblPr>
      <w:tblGrid>
        <w:gridCol w:w="1696"/>
        <w:gridCol w:w="1560"/>
        <w:gridCol w:w="5953"/>
        <w:gridCol w:w="5528"/>
      </w:tblGrid>
      <w:tr w:rsidR="00F20B49" w:rsidRPr="00642DF1" w14:paraId="2E443D7C" w14:textId="77777777" w:rsidTr="007E08B6">
        <w:trPr>
          <w:tblHeader/>
          <w:jc w:val="center"/>
        </w:trPr>
        <w:tc>
          <w:tcPr>
            <w:tcW w:w="1696" w:type="dxa"/>
            <w:vAlign w:val="center"/>
          </w:tcPr>
          <w:p w14:paraId="4059B8C8" w14:textId="77777777" w:rsidR="00F20B49" w:rsidRPr="00DA2335" w:rsidRDefault="00F20B49"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NHÓM VẤN Đ</w:t>
            </w:r>
            <w:r w:rsidRPr="00DA2335">
              <w:rPr>
                <w:rFonts w:ascii="Times New Roman" w:eastAsia="Times New Roman" w:hAnsi="Times New Roman" w:cs="Times New Roman"/>
                <w:b/>
                <w:bCs/>
                <w:sz w:val="26"/>
                <w:szCs w:val="26"/>
                <w:lang w:val="en-SG"/>
              </w:rPr>
              <w:t>Ề </w:t>
            </w:r>
            <w:r w:rsidRPr="00DA2335">
              <w:rPr>
                <w:rFonts w:ascii="Times New Roman" w:eastAsia="Times New Roman" w:hAnsi="Times New Roman" w:cs="Times New Roman"/>
                <w:b/>
                <w:bCs/>
                <w:sz w:val="26"/>
                <w:szCs w:val="26"/>
              </w:rPr>
              <w:t>HOẶC ĐIỀU, KHOẢN</w:t>
            </w:r>
          </w:p>
        </w:tc>
        <w:tc>
          <w:tcPr>
            <w:tcW w:w="1560" w:type="dxa"/>
            <w:vAlign w:val="center"/>
          </w:tcPr>
          <w:p w14:paraId="4D1294D7" w14:textId="77777777" w:rsidR="00F20B49" w:rsidRPr="00DA2335" w:rsidRDefault="00F20B49" w:rsidP="00DA2335">
            <w:pPr>
              <w:jc w:val="center"/>
              <w:rPr>
                <w:rFonts w:ascii="Times New Roman" w:eastAsia="Times New Roman" w:hAnsi="Times New Roman" w:cs="Times New Roman"/>
                <w:b/>
                <w:bCs/>
                <w:sz w:val="26"/>
                <w:szCs w:val="26"/>
              </w:rPr>
            </w:pPr>
            <w:r w:rsidRPr="00DA2335">
              <w:rPr>
                <w:rFonts w:ascii="Times New Roman" w:eastAsia="Times New Roman" w:hAnsi="Times New Roman" w:cs="Times New Roman"/>
                <w:b/>
                <w:bCs/>
                <w:sz w:val="26"/>
                <w:szCs w:val="26"/>
              </w:rPr>
              <w:t>CHỦ THỂ GÓP Ý</w:t>
            </w:r>
          </w:p>
        </w:tc>
        <w:tc>
          <w:tcPr>
            <w:tcW w:w="5953" w:type="dxa"/>
            <w:vAlign w:val="center"/>
          </w:tcPr>
          <w:p w14:paraId="5CE4E12F" w14:textId="77777777" w:rsidR="00F20B49" w:rsidRPr="00DA2335" w:rsidRDefault="00F20B49"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NỘI D</w:t>
            </w:r>
            <w:r w:rsidRPr="00DA2335">
              <w:rPr>
                <w:rFonts w:ascii="Times New Roman" w:eastAsia="Times New Roman" w:hAnsi="Times New Roman" w:cs="Times New Roman"/>
                <w:b/>
                <w:bCs/>
                <w:sz w:val="26"/>
                <w:szCs w:val="26"/>
                <w:lang w:val="en-SG"/>
              </w:rPr>
              <w:t>U</w:t>
            </w:r>
            <w:r w:rsidRPr="00DA2335">
              <w:rPr>
                <w:rFonts w:ascii="Times New Roman" w:eastAsia="Times New Roman" w:hAnsi="Times New Roman" w:cs="Times New Roman"/>
                <w:b/>
                <w:bCs/>
                <w:sz w:val="26"/>
                <w:szCs w:val="26"/>
              </w:rPr>
              <w:t>NG GÓP Ý</w:t>
            </w:r>
          </w:p>
        </w:tc>
        <w:tc>
          <w:tcPr>
            <w:tcW w:w="5528" w:type="dxa"/>
            <w:vAlign w:val="center"/>
          </w:tcPr>
          <w:p w14:paraId="539FA330" w14:textId="77777777" w:rsidR="00F20B49" w:rsidRPr="00DA2335" w:rsidRDefault="00F20B49"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NỘI D</w:t>
            </w:r>
            <w:r w:rsidRPr="00DA2335">
              <w:rPr>
                <w:rFonts w:ascii="Times New Roman" w:eastAsia="Times New Roman" w:hAnsi="Times New Roman" w:cs="Times New Roman"/>
                <w:b/>
                <w:bCs/>
                <w:sz w:val="26"/>
                <w:szCs w:val="26"/>
                <w:lang w:val="en-SG"/>
              </w:rPr>
              <w:t>U</w:t>
            </w:r>
            <w:r w:rsidRPr="00DA2335">
              <w:rPr>
                <w:rFonts w:ascii="Times New Roman" w:eastAsia="Times New Roman" w:hAnsi="Times New Roman" w:cs="Times New Roman"/>
                <w:b/>
                <w:bCs/>
                <w:sz w:val="26"/>
                <w:szCs w:val="26"/>
              </w:rPr>
              <w:t>NG T</w:t>
            </w:r>
            <w:r w:rsidRPr="00DA2335">
              <w:rPr>
                <w:rFonts w:ascii="Times New Roman" w:eastAsia="Times New Roman" w:hAnsi="Times New Roman" w:cs="Times New Roman"/>
                <w:b/>
                <w:bCs/>
                <w:sz w:val="26"/>
                <w:szCs w:val="26"/>
                <w:lang w:val="en-SG"/>
              </w:rPr>
              <w:t>IẾ</w:t>
            </w:r>
            <w:r w:rsidRPr="00DA2335">
              <w:rPr>
                <w:rFonts w:ascii="Times New Roman" w:eastAsia="Times New Roman" w:hAnsi="Times New Roman" w:cs="Times New Roman"/>
                <w:b/>
                <w:bCs/>
                <w:sz w:val="26"/>
                <w:szCs w:val="26"/>
              </w:rPr>
              <w:t>P THU, GIẢI TRÌNH</w:t>
            </w:r>
          </w:p>
        </w:tc>
      </w:tr>
      <w:tr w:rsidR="00F20B49" w:rsidRPr="00642DF1" w14:paraId="640A274B" w14:textId="77777777" w:rsidTr="007E08B6">
        <w:trPr>
          <w:jc w:val="center"/>
        </w:trPr>
        <w:tc>
          <w:tcPr>
            <w:tcW w:w="1696" w:type="dxa"/>
          </w:tcPr>
          <w:p w14:paraId="0AF777BF" w14:textId="79C107BD" w:rsidR="00F20B49"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Đối tượng</w:t>
            </w:r>
          </w:p>
        </w:tc>
        <w:tc>
          <w:tcPr>
            <w:tcW w:w="1560" w:type="dxa"/>
          </w:tcPr>
          <w:p w14:paraId="52B9889E" w14:textId="078784D2" w:rsidR="00F20B49"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ĐH Ngoại ngữ - ĐH Huế</w:t>
            </w:r>
          </w:p>
        </w:tc>
        <w:tc>
          <w:tcPr>
            <w:tcW w:w="5953" w:type="dxa"/>
          </w:tcPr>
          <w:p w14:paraId="32BAF203" w14:textId="5CBCFB97" w:rsidR="00F20B49" w:rsidRPr="00DA2335" w:rsidRDefault="00EF385A" w:rsidP="00DA2335">
            <w:pPr>
              <w:jc w:val="both"/>
              <w:rPr>
                <w:rFonts w:ascii="Times New Roman" w:hAnsi="Times New Roman" w:cs="Times New Roman"/>
                <w:sz w:val="26"/>
                <w:szCs w:val="26"/>
              </w:rPr>
            </w:pPr>
            <w:r w:rsidRPr="00DA2335">
              <w:rPr>
                <w:rFonts w:ascii="Times New Roman" w:hAnsi="Times New Roman" w:cs="Times New Roman"/>
                <w:sz w:val="26"/>
                <w:szCs w:val="26"/>
              </w:rPr>
              <w:t>Đề nghị mở rộng cho đối tượng ngoài nhà giáo</w:t>
            </w:r>
          </w:p>
        </w:tc>
        <w:tc>
          <w:tcPr>
            <w:tcW w:w="5528" w:type="dxa"/>
          </w:tcPr>
          <w:p w14:paraId="006BAB7E" w14:textId="77777777" w:rsidR="00F20B49"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4CEABAB9" w14:textId="4F887BD8"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Nghị định này quy định chi tiết khoản 4 Điều 23 Luật Nhà gi</w:t>
            </w:r>
          </w:p>
        </w:tc>
      </w:tr>
      <w:tr w:rsidR="00EF385A" w:rsidRPr="00642DF1" w14:paraId="52FDC0EE" w14:textId="77777777" w:rsidTr="007E08B6">
        <w:trPr>
          <w:jc w:val="center"/>
        </w:trPr>
        <w:tc>
          <w:tcPr>
            <w:tcW w:w="1696" w:type="dxa"/>
          </w:tcPr>
          <w:p w14:paraId="7F2C7FEB" w14:textId="7E5332C1"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Phụ cấp thâm niên</w:t>
            </w:r>
          </w:p>
        </w:tc>
        <w:tc>
          <w:tcPr>
            <w:tcW w:w="1560" w:type="dxa"/>
          </w:tcPr>
          <w:p w14:paraId="69344BF6" w14:textId="58CF20BB"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tc>
        <w:tc>
          <w:tcPr>
            <w:tcW w:w="5953" w:type="dxa"/>
          </w:tcPr>
          <w:p w14:paraId="1653044C" w14:textId="1D278146" w:rsidR="00EF385A" w:rsidRPr="00DA2335" w:rsidRDefault="00EF385A" w:rsidP="00DA2335">
            <w:pPr>
              <w:jc w:val="both"/>
              <w:rPr>
                <w:rFonts w:ascii="Times New Roman" w:hAnsi="Times New Roman" w:cs="Times New Roman"/>
                <w:bCs/>
                <w:sz w:val="26"/>
                <w:szCs w:val="26"/>
              </w:rPr>
            </w:pPr>
            <w:r w:rsidRPr="00DA2335">
              <w:rPr>
                <w:rFonts w:ascii="Times New Roman" w:hAnsi="Times New Roman" w:cs="Times New Roman"/>
                <w:bCs/>
                <w:sz w:val="26"/>
                <w:szCs w:val="26"/>
              </w:rPr>
              <w:t>Theo Nghị quyết số 27-NQ/TW ngày 21/5/2018 của Ban Chấp hành Trung ương (khóa XII) về cải cách chính sách tiền lương đối với cán bộ, công chức, viên chức, lực lượng vũ trang và người lao động trong doanh nghiệp thì sẽ thực hiện bãi bỏ phụ cấp thâm niên nghề đối với cán bộ, công chức, viên chức khi thực hiện chính sách tiền lương mới. Do đó, để nội dung Tờ trình được bao quát đầy đủ hơn về chế độ, chính sách tiền lương đối với nhà giáo thì đề xuất cơ quan soạn thảo xem xét bổ sung thêm nội dung (để phân tích, đánh giá tác động, lộ trình triển khai thực hiện,…) của việc bãi bỏ phụ cấp thâm niên nghề đối với đối ngũ nhà giáo trong cơ sở giáo dục công lập.</w:t>
            </w:r>
          </w:p>
        </w:tc>
        <w:tc>
          <w:tcPr>
            <w:tcW w:w="5528" w:type="dxa"/>
          </w:tcPr>
          <w:p w14:paraId="0F971E05" w14:textId="77777777"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9D8889E" w14:textId="33675326"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Nghị định này không bỏ quy định phụ cấp thâm niên nhà giáo. Khoản 2 Điều 42 Luật Nhà giáo đã quy định “</w:t>
            </w:r>
            <w:r w:rsidRPr="00DA2335">
              <w:rPr>
                <w:rFonts w:ascii="Times New Roman" w:hAnsi="Times New Roman" w:cs="Times New Roman"/>
                <w:spacing w:val="-6"/>
                <w:sz w:val="26"/>
                <w:szCs w:val="26"/>
              </w:rPr>
              <w:t>Nhà giáo tiếp tục hưởng phụ cấp thâm niên nhà giáo cho đến khi thực hiện cải cách chính sách tiền lương đối với cán bộ, công chức, viên chức, lực lượng vũ trang nhân dân và người lao động trong doanh nghiệp.”</w:t>
            </w:r>
          </w:p>
        </w:tc>
      </w:tr>
      <w:tr w:rsidR="00EF385A" w:rsidRPr="00642DF1" w14:paraId="04F77A36" w14:textId="77777777" w:rsidTr="007E08B6">
        <w:trPr>
          <w:jc w:val="center"/>
        </w:trPr>
        <w:tc>
          <w:tcPr>
            <w:tcW w:w="1696" w:type="dxa"/>
          </w:tcPr>
          <w:p w14:paraId="2FC38F2A" w14:textId="7341D460"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Lộ trình thực hiện</w:t>
            </w:r>
          </w:p>
        </w:tc>
        <w:tc>
          <w:tcPr>
            <w:tcW w:w="1560" w:type="dxa"/>
          </w:tcPr>
          <w:p w14:paraId="7C58177E" w14:textId="12E664FA"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tc>
        <w:tc>
          <w:tcPr>
            <w:tcW w:w="5953" w:type="dxa"/>
          </w:tcPr>
          <w:p w14:paraId="5A8A49CA" w14:textId="72F86250" w:rsidR="00EF385A" w:rsidRPr="00DA2335" w:rsidRDefault="00EF385A" w:rsidP="00DA2335">
            <w:pPr>
              <w:jc w:val="both"/>
              <w:rPr>
                <w:rFonts w:ascii="Times New Roman" w:hAnsi="Times New Roman" w:cs="Times New Roman"/>
                <w:bCs/>
                <w:sz w:val="26"/>
                <w:szCs w:val="26"/>
              </w:rPr>
            </w:pPr>
            <w:r w:rsidRPr="00DA2335">
              <w:rPr>
                <w:rFonts w:ascii="Times New Roman" w:hAnsi="Times New Roman" w:cs="Times New Roman"/>
                <w:bCs/>
                <w:sz w:val="26"/>
                <w:szCs w:val="26"/>
              </w:rPr>
              <w:t>Đề xuất cơ quan soạn thảo xem xét bổ sung thêm nội dung về lộ trình dự kiến sẽ triển khai thực hiện việc trình ban hành Nghị định quy định chính sách tiền lương, chế độ phụ cấp đối với nhà giáo này.</w:t>
            </w:r>
          </w:p>
        </w:tc>
        <w:tc>
          <w:tcPr>
            <w:tcW w:w="5528" w:type="dxa"/>
          </w:tcPr>
          <w:p w14:paraId="59C2E778" w14:textId="77777777"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63D9E88" w14:textId="68739FD0"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Các nội dung quy định tại dự thảo Nghị định có hiệu lực kể từ ngày 01/01/2026</w:t>
            </w:r>
          </w:p>
        </w:tc>
      </w:tr>
      <w:tr w:rsidR="00EF385A" w:rsidRPr="00642DF1" w14:paraId="2DC7080C" w14:textId="77777777" w:rsidTr="007E08B6">
        <w:trPr>
          <w:jc w:val="center"/>
        </w:trPr>
        <w:tc>
          <w:tcPr>
            <w:tcW w:w="1696" w:type="dxa"/>
          </w:tcPr>
          <w:p w14:paraId="3E5BD481" w14:textId="1C9CCC43"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Về cơ sở chính trị</w:t>
            </w:r>
          </w:p>
        </w:tc>
        <w:tc>
          <w:tcPr>
            <w:tcW w:w="1560" w:type="dxa"/>
          </w:tcPr>
          <w:p w14:paraId="63F42091" w14:textId="59E40612"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5953" w:type="dxa"/>
          </w:tcPr>
          <w:p w14:paraId="2792545C" w14:textId="43BB8FFD" w:rsidR="00EF385A" w:rsidRPr="00DA2335" w:rsidRDefault="00EF385A" w:rsidP="00DA2335">
            <w:pPr>
              <w:jc w:val="both"/>
              <w:rPr>
                <w:rFonts w:ascii="Times New Roman" w:hAnsi="Times New Roman" w:cs="Times New Roman"/>
                <w:bCs/>
                <w:sz w:val="26"/>
                <w:szCs w:val="26"/>
              </w:rPr>
            </w:pPr>
            <w:r w:rsidRPr="00DA2335">
              <w:rPr>
                <w:rFonts w:ascii="Times New Roman" w:hAnsi="Times New Roman" w:cs="Times New Roman"/>
                <w:sz w:val="26"/>
                <w:szCs w:val="26"/>
              </w:rPr>
              <w:t>Cần nhấn mạnh rõ ràng hơn vai trò của Kết luận số 83-KL/TW là cơ sở chính trị trực tiếp và cấp bách cho việc ban hành Nghị định này. Nghị định này không chỉ là bước "tiến tới" cải cách tiền lương, mà còn là giải pháp pháp lý bắt buộc để điều chỉnh chế độ đặc thù của ngành Giáo dục trong bối cảnh chính sách tiền lương mới bị tạm hoãn theo chỉ đạo của Bộ Chính trị.</w:t>
            </w:r>
          </w:p>
        </w:tc>
        <w:tc>
          <w:tcPr>
            <w:tcW w:w="5528" w:type="dxa"/>
          </w:tcPr>
          <w:p w14:paraId="33BB26AA" w14:textId="1F41B8C3"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 xml:space="preserve">Tiếp thu </w:t>
            </w:r>
          </w:p>
        </w:tc>
      </w:tr>
      <w:tr w:rsidR="00EF385A" w:rsidRPr="00642DF1" w14:paraId="6B902E2C" w14:textId="77777777" w:rsidTr="007E08B6">
        <w:trPr>
          <w:jc w:val="center"/>
        </w:trPr>
        <w:tc>
          <w:tcPr>
            <w:tcW w:w="1696" w:type="dxa"/>
          </w:tcPr>
          <w:p w14:paraId="2D45E458" w14:textId="75D520E3"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Về lương giáo sư</w:t>
            </w:r>
          </w:p>
        </w:tc>
        <w:tc>
          <w:tcPr>
            <w:tcW w:w="1560" w:type="dxa"/>
          </w:tcPr>
          <w:p w14:paraId="6D55D9FC" w14:textId="7CEFDDD9"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5953" w:type="dxa"/>
          </w:tcPr>
          <w:p w14:paraId="4FE1096D" w14:textId="77777777" w:rsidR="00EF385A" w:rsidRPr="00DA2335" w:rsidRDefault="00EF385A" w:rsidP="00DA2335">
            <w:pPr>
              <w:pStyle w:val="BodyText"/>
              <w:spacing w:after="0" w:line="240" w:lineRule="auto"/>
              <w:ind w:firstLine="0"/>
              <w:jc w:val="both"/>
              <w:rPr>
                <w:rFonts w:ascii="Times New Roman" w:hAnsi="Times New Roman"/>
                <w:sz w:val="26"/>
                <w:szCs w:val="26"/>
              </w:rPr>
            </w:pPr>
            <w:r w:rsidRPr="00DA2335">
              <w:rPr>
                <w:rFonts w:ascii="Times New Roman" w:hAnsi="Times New Roman"/>
                <w:sz w:val="26"/>
                <w:szCs w:val="26"/>
              </w:rPr>
              <w:t>Tờ trình lập luận Giáo sư có sự tương đồng với Chuyên gia cao cấp (theo Quy định số 180-QĐ/TW) để hợp lý hóa việc áp dụng bảng lương này. Việc xếp lương này nhằm đạt mục tiêu "Lương cao nhất". Tuy nhiên, lập luận "tương đồng" có thể gây hiểu nhầm về danh xưng và thẩm quyền bổ nhiệm. Nên tách bạch mục tiêu chính là thực hiện chủ trương ưu đãi vượt trội của Luật Nhà giáo (khoản 1 Điều 23) và Nghị quyết của Đảng. Khẳng định rằng, việc Giáo sư được áp dụng bảng lương Chuyên gia cao cấp là một chính sách đặc thù dành riêng cho nhà giáo để ưu tiên xếp lương cao nhất, không ngụ ý Giáo sư là Chuyên gia cao cấp theo Quy định số 180-QĐ/TW.</w:t>
            </w:r>
          </w:p>
          <w:p w14:paraId="11988678" w14:textId="77777777" w:rsidR="00EF385A" w:rsidRPr="00DA2335" w:rsidRDefault="00EF385A" w:rsidP="00DA2335">
            <w:pPr>
              <w:jc w:val="both"/>
              <w:rPr>
                <w:rFonts w:ascii="Times New Roman" w:hAnsi="Times New Roman" w:cs="Times New Roman"/>
                <w:sz w:val="26"/>
                <w:szCs w:val="26"/>
              </w:rPr>
            </w:pPr>
          </w:p>
        </w:tc>
        <w:tc>
          <w:tcPr>
            <w:tcW w:w="5528" w:type="dxa"/>
          </w:tcPr>
          <w:p w14:paraId="236B6F0E" w14:textId="276D2A42"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 xml:space="preserve">Tiếp thu </w:t>
            </w:r>
          </w:p>
        </w:tc>
      </w:tr>
      <w:tr w:rsidR="00EF385A" w:rsidRPr="00642DF1" w14:paraId="0CBD491C" w14:textId="77777777" w:rsidTr="007E08B6">
        <w:trPr>
          <w:jc w:val="center"/>
        </w:trPr>
        <w:tc>
          <w:tcPr>
            <w:tcW w:w="1696" w:type="dxa"/>
          </w:tcPr>
          <w:p w14:paraId="46569794" w14:textId="11DDF732"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Về dự kiến nguồn lực</w:t>
            </w:r>
          </w:p>
        </w:tc>
        <w:tc>
          <w:tcPr>
            <w:tcW w:w="1560" w:type="dxa"/>
          </w:tcPr>
          <w:p w14:paraId="0301F4E4" w14:textId="0DBCBC16"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5953" w:type="dxa"/>
          </w:tcPr>
          <w:p w14:paraId="7D1C866C" w14:textId="2D0146D6" w:rsidR="00EF385A" w:rsidRPr="00DA2335" w:rsidRDefault="00EF385A" w:rsidP="00DA2335">
            <w:pPr>
              <w:pStyle w:val="BodyText"/>
              <w:spacing w:after="0" w:line="240" w:lineRule="auto"/>
              <w:ind w:firstLine="0"/>
              <w:jc w:val="both"/>
              <w:rPr>
                <w:rFonts w:ascii="Times New Roman" w:hAnsi="Times New Roman"/>
                <w:sz w:val="26"/>
                <w:szCs w:val="26"/>
              </w:rPr>
            </w:pPr>
            <w:r w:rsidRPr="00DA2335">
              <w:rPr>
                <w:rFonts w:ascii="Times New Roman" w:hAnsi="Times New Roman"/>
                <w:sz w:val="26"/>
                <w:szCs w:val="26"/>
              </w:rPr>
              <w:t>Tờ trình tính toán chi phí phát sinh là 1.881.594.000 đ/tháng cho Giáo sư công lập nhưng sau đó lập luận rằng chi phí này "về cơ bản không làm phát sinh nhiều ngân sách nhà nước" do các cơ sở đang tự chủ. Cần tính toán cụ thể hơn và minh bạch hóa nguồn lực. Cần cung cấp tỷ lệ chi phí thực tế từ ngân sách nhà nước (phần còn lại sau khi trừ đi nguồn thu của đơn vị tự chủ). Việc khẳng định "không làm phát sinh nhiều ngân sách nhà nước" mà không có số liệu chứng minh có thể thiếu sức thuyết phục đối với cơ quan thẩm tra tài chính.</w:t>
            </w:r>
          </w:p>
        </w:tc>
        <w:tc>
          <w:tcPr>
            <w:tcW w:w="5528" w:type="dxa"/>
          </w:tcPr>
          <w:p w14:paraId="4A5DD4E6" w14:textId="35C29AF8"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w:t>
            </w:r>
          </w:p>
        </w:tc>
      </w:tr>
      <w:tr w:rsidR="00EF385A" w:rsidRPr="00642DF1" w14:paraId="65FB3366" w14:textId="77777777" w:rsidTr="007E08B6">
        <w:trPr>
          <w:jc w:val="center"/>
        </w:trPr>
        <w:tc>
          <w:tcPr>
            <w:tcW w:w="1696" w:type="dxa"/>
          </w:tcPr>
          <w:p w14:paraId="13A9881E" w14:textId="3341F021" w:rsidR="00EF385A" w:rsidRPr="00DA2335" w:rsidRDefault="00EF385A"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Về phụ cấp lưu động</w:t>
            </w:r>
          </w:p>
        </w:tc>
        <w:tc>
          <w:tcPr>
            <w:tcW w:w="1560" w:type="dxa"/>
          </w:tcPr>
          <w:p w14:paraId="69D7B379" w14:textId="59544EE4"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5953" w:type="dxa"/>
          </w:tcPr>
          <w:p w14:paraId="130D1B3A" w14:textId="769DC486" w:rsidR="00EF385A" w:rsidRPr="00DA2335" w:rsidRDefault="00EF385A" w:rsidP="00DA2335">
            <w:pPr>
              <w:pStyle w:val="BodyText"/>
              <w:spacing w:after="0" w:line="240" w:lineRule="auto"/>
              <w:ind w:firstLine="0"/>
              <w:jc w:val="both"/>
              <w:rPr>
                <w:rFonts w:ascii="Times New Roman" w:hAnsi="Times New Roman"/>
                <w:sz w:val="26"/>
                <w:szCs w:val="26"/>
              </w:rPr>
            </w:pPr>
            <w:r w:rsidRPr="00DA2335">
              <w:rPr>
                <w:rFonts w:ascii="Times New Roman" w:hAnsi="Times New Roman"/>
                <w:sz w:val="26"/>
                <w:szCs w:val="26"/>
              </w:rPr>
              <w:t>Tờ trình chỉ dẫn Thông tư số 06/2005/TT-BNV để làm căn cứ cho sự bất cập về đối tượng hưởng phụ cấp lưu động (chỉ áp dụng cho người chuyên trách xoá mù chữ). Cần bổ sung và làm rõ hơn nguyên tắc chung của chế độ phụ cấp lưu động theo quy định của Nghị định số 204/2004/NĐ-CP và Thông tư số 06/2005/TT-BNV. Từ đó, khẳng định việc mở rộng đối tượng sang nhà giáo dạy liên trường/biệt phái là một chính sách ưu đãi đặc thù/vượt trội (thực hiện Nghị quyết số 71-NQ/TW).</w:t>
            </w:r>
          </w:p>
        </w:tc>
        <w:tc>
          <w:tcPr>
            <w:tcW w:w="5528" w:type="dxa"/>
          </w:tcPr>
          <w:p w14:paraId="78DA339E" w14:textId="67263AA2" w:rsidR="00EF385A" w:rsidRPr="00DA2335" w:rsidRDefault="00EF385A"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w:t>
            </w:r>
          </w:p>
        </w:tc>
      </w:tr>
    </w:tbl>
    <w:p w14:paraId="4E0E3C63" w14:textId="53D9858B" w:rsidR="00496156" w:rsidRPr="00EF385A" w:rsidRDefault="00EF385A" w:rsidP="00496156">
      <w:pPr>
        <w:tabs>
          <w:tab w:val="left" w:pos="993"/>
          <w:tab w:val="left" w:pos="1276"/>
        </w:tabs>
        <w:spacing w:before="120" w:after="120" w:line="240" w:lineRule="auto"/>
        <w:ind w:firstLine="709"/>
        <w:jc w:val="both"/>
        <w:rPr>
          <w:rFonts w:ascii="Times New Roman" w:hAnsi="Times New Roman" w:cs="Times New Roman"/>
          <w:b/>
          <w:sz w:val="28"/>
          <w:szCs w:val="28"/>
        </w:rPr>
      </w:pPr>
      <w:r w:rsidRPr="00EF385A">
        <w:rPr>
          <w:rFonts w:ascii="Times New Roman" w:hAnsi="Times New Roman" w:cs="Times New Roman"/>
          <w:b/>
          <w:sz w:val="28"/>
          <w:szCs w:val="28"/>
        </w:rPr>
        <w:t>3</w:t>
      </w:r>
      <w:r w:rsidR="003315E1" w:rsidRPr="00EF385A">
        <w:rPr>
          <w:rFonts w:ascii="Times New Roman" w:hAnsi="Times New Roman" w:cs="Times New Roman"/>
          <w:b/>
          <w:sz w:val="28"/>
          <w:szCs w:val="28"/>
        </w:rPr>
        <w:t>. Góp ý đối với dự thảo Nghị định</w:t>
      </w:r>
    </w:p>
    <w:tbl>
      <w:tblPr>
        <w:tblStyle w:val="TableGrid"/>
        <w:tblW w:w="14879" w:type="dxa"/>
        <w:jc w:val="center"/>
        <w:tblLook w:val="04A0" w:firstRow="1" w:lastRow="0" w:firstColumn="1" w:lastColumn="0" w:noHBand="0" w:noVBand="1"/>
      </w:tblPr>
      <w:tblGrid>
        <w:gridCol w:w="1696"/>
        <w:gridCol w:w="1560"/>
        <w:gridCol w:w="6095"/>
        <w:gridCol w:w="5528"/>
      </w:tblGrid>
      <w:tr w:rsidR="00385B2F" w:rsidRPr="00DA2335" w14:paraId="0A55C749" w14:textId="77777777" w:rsidTr="00C41220">
        <w:trPr>
          <w:tblHeader/>
          <w:jc w:val="center"/>
        </w:trPr>
        <w:tc>
          <w:tcPr>
            <w:tcW w:w="1696" w:type="dxa"/>
            <w:vAlign w:val="center"/>
          </w:tcPr>
          <w:p w14:paraId="5C2A2C40" w14:textId="77777777" w:rsidR="00385B2F" w:rsidRPr="00DA2335" w:rsidRDefault="00385B2F"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NHÓM VẤN Đ</w:t>
            </w:r>
            <w:r w:rsidRPr="00DA2335">
              <w:rPr>
                <w:rFonts w:ascii="Times New Roman" w:eastAsia="Times New Roman" w:hAnsi="Times New Roman" w:cs="Times New Roman"/>
                <w:b/>
                <w:bCs/>
                <w:sz w:val="26"/>
                <w:szCs w:val="26"/>
                <w:lang w:val="en-SG"/>
              </w:rPr>
              <w:t>Ề </w:t>
            </w:r>
            <w:r w:rsidRPr="00DA2335">
              <w:rPr>
                <w:rFonts w:ascii="Times New Roman" w:eastAsia="Times New Roman" w:hAnsi="Times New Roman" w:cs="Times New Roman"/>
                <w:b/>
                <w:bCs/>
                <w:sz w:val="26"/>
                <w:szCs w:val="26"/>
              </w:rPr>
              <w:t>HOẶC ĐIỀU, KHOẢN</w:t>
            </w:r>
          </w:p>
        </w:tc>
        <w:tc>
          <w:tcPr>
            <w:tcW w:w="1560" w:type="dxa"/>
            <w:vAlign w:val="center"/>
          </w:tcPr>
          <w:p w14:paraId="58F06DE9" w14:textId="77777777" w:rsidR="00385B2F" w:rsidRPr="00DA2335" w:rsidRDefault="00385B2F" w:rsidP="00DA2335">
            <w:pPr>
              <w:jc w:val="center"/>
              <w:rPr>
                <w:rFonts w:ascii="Times New Roman" w:eastAsia="Times New Roman" w:hAnsi="Times New Roman" w:cs="Times New Roman"/>
                <w:b/>
                <w:bCs/>
                <w:sz w:val="26"/>
                <w:szCs w:val="26"/>
              </w:rPr>
            </w:pPr>
            <w:r w:rsidRPr="00DA2335">
              <w:rPr>
                <w:rFonts w:ascii="Times New Roman" w:eastAsia="Times New Roman" w:hAnsi="Times New Roman" w:cs="Times New Roman"/>
                <w:b/>
                <w:bCs/>
                <w:sz w:val="26"/>
                <w:szCs w:val="26"/>
              </w:rPr>
              <w:t>CHỦ THỂ GÓP Ý</w:t>
            </w:r>
          </w:p>
        </w:tc>
        <w:tc>
          <w:tcPr>
            <w:tcW w:w="6095" w:type="dxa"/>
            <w:vAlign w:val="center"/>
          </w:tcPr>
          <w:p w14:paraId="1AB57B9B" w14:textId="77777777" w:rsidR="00385B2F" w:rsidRPr="00DA2335" w:rsidRDefault="00385B2F"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NỘI D</w:t>
            </w:r>
            <w:r w:rsidRPr="00DA2335">
              <w:rPr>
                <w:rFonts w:ascii="Times New Roman" w:eastAsia="Times New Roman" w:hAnsi="Times New Roman" w:cs="Times New Roman"/>
                <w:b/>
                <w:bCs/>
                <w:sz w:val="26"/>
                <w:szCs w:val="26"/>
                <w:lang w:val="en-SG"/>
              </w:rPr>
              <w:t>U</w:t>
            </w:r>
            <w:r w:rsidRPr="00DA2335">
              <w:rPr>
                <w:rFonts w:ascii="Times New Roman" w:eastAsia="Times New Roman" w:hAnsi="Times New Roman" w:cs="Times New Roman"/>
                <w:b/>
                <w:bCs/>
                <w:sz w:val="26"/>
                <w:szCs w:val="26"/>
              </w:rPr>
              <w:t>NG GÓP Ý</w:t>
            </w:r>
          </w:p>
        </w:tc>
        <w:tc>
          <w:tcPr>
            <w:tcW w:w="5528" w:type="dxa"/>
            <w:vAlign w:val="center"/>
          </w:tcPr>
          <w:p w14:paraId="3F53BBBB" w14:textId="77777777" w:rsidR="00385B2F" w:rsidRPr="00DA2335" w:rsidRDefault="00385B2F" w:rsidP="00DA2335">
            <w:pPr>
              <w:jc w:val="center"/>
              <w:rPr>
                <w:rFonts w:ascii="Times New Roman" w:eastAsia="Times New Roman" w:hAnsi="Times New Roman" w:cs="Times New Roman"/>
                <w:b/>
                <w:sz w:val="26"/>
                <w:szCs w:val="26"/>
              </w:rPr>
            </w:pPr>
            <w:r w:rsidRPr="00DA2335">
              <w:rPr>
                <w:rFonts w:ascii="Times New Roman" w:eastAsia="Times New Roman" w:hAnsi="Times New Roman" w:cs="Times New Roman"/>
                <w:b/>
                <w:bCs/>
                <w:sz w:val="26"/>
                <w:szCs w:val="26"/>
              </w:rPr>
              <w:t>NỘI D</w:t>
            </w:r>
            <w:r w:rsidRPr="00DA2335">
              <w:rPr>
                <w:rFonts w:ascii="Times New Roman" w:eastAsia="Times New Roman" w:hAnsi="Times New Roman" w:cs="Times New Roman"/>
                <w:b/>
                <w:bCs/>
                <w:sz w:val="26"/>
                <w:szCs w:val="26"/>
                <w:lang w:val="en-SG"/>
              </w:rPr>
              <w:t>U</w:t>
            </w:r>
            <w:r w:rsidRPr="00DA2335">
              <w:rPr>
                <w:rFonts w:ascii="Times New Roman" w:eastAsia="Times New Roman" w:hAnsi="Times New Roman" w:cs="Times New Roman"/>
                <w:b/>
                <w:bCs/>
                <w:sz w:val="26"/>
                <w:szCs w:val="26"/>
              </w:rPr>
              <w:t>NG T</w:t>
            </w:r>
            <w:r w:rsidRPr="00DA2335">
              <w:rPr>
                <w:rFonts w:ascii="Times New Roman" w:eastAsia="Times New Roman" w:hAnsi="Times New Roman" w:cs="Times New Roman"/>
                <w:b/>
                <w:bCs/>
                <w:sz w:val="26"/>
                <w:szCs w:val="26"/>
                <w:lang w:val="en-SG"/>
              </w:rPr>
              <w:t>IẾ</w:t>
            </w:r>
            <w:r w:rsidRPr="00DA2335">
              <w:rPr>
                <w:rFonts w:ascii="Times New Roman" w:eastAsia="Times New Roman" w:hAnsi="Times New Roman" w:cs="Times New Roman"/>
                <w:b/>
                <w:bCs/>
                <w:sz w:val="26"/>
                <w:szCs w:val="26"/>
              </w:rPr>
              <w:t>P THU, GIẢI TRÌNH</w:t>
            </w:r>
          </w:p>
        </w:tc>
      </w:tr>
      <w:tr w:rsidR="00477C28" w:rsidRPr="00DA2335" w14:paraId="56D575E9" w14:textId="77777777" w:rsidTr="00C41220">
        <w:trPr>
          <w:jc w:val="center"/>
        </w:trPr>
        <w:tc>
          <w:tcPr>
            <w:tcW w:w="1696" w:type="dxa"/>
          </w:tcPr>
          <w:p w14:paraId="53985341" w14:textId="37754C38" w:rsidR="00477C28" w:rsidRPr="00DA2335" w:rsidRDefault="004A7EBC"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Đối tượng áp dụng</w:t>
            </w:r>
          </w:p>
        </w:tc>
        <w:tc>
          <w:tcPr>
            <w:tcW w:w="1560" w:type="dxa"/>
          </w:tcPr>
          <w:p w14:paraId="15BEC520" w14:textId="09BE514D" w:rsidR="00477C28" w:rsidRPr="00DA2335" w:rsidRDefault="004A7EBC"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Cao đẳng kỹ nghệ Dung Quất</w:t>
            </w:r>
          </w:p>
        </w:tc>
        <w:tc>
          <w:tcPr>
            <w:tcW w:w="6095" w:type="dxa"/>
          </w:tcPr>
          <w:p w14:paraId="529D0E4D" w14:textId="5D40F8BD" w:rsidR="00477C28" w:rsidRPr="00DA2335" w:rsidRDefault="004A7EBC" w:rsidP="00DA2335">
            <w:pPr>
              <w:jc w:val="both"/>
              <w:rPr>
                <w:rFonts w:ascii="Times New Roman" w:hAnsi="Times New Roman" w:cs="Times New Roman"/>
                <w:sz w:val="26"/>
                <w:szCs w:val="26"/>
              </w:rPr>
            </w:pPr>
            <w:r w:rsidRPr="00DA2335">
              <w:rPr>
                <w:rFonts w:ascii="Times New Roman" w:hAnsi="Times New Roman" w:cs="Times New Roman"/>
                <w:sz w:val="26"/>
                <w:szCs w:val="26"/>
                <w:lang w:val="nl-NL"/>
              </w:rPr>
              <w:t>Nhà giáo kiêm nhiệm vẫn được hưởng chế độ như nhà giáo chuyên trách. Cần quy định rõ về đối tượng nhà giáo kiêm nhiệm được thực hiện chế độ tiền lương theo dự thảo Nghị định (Điều 2)</w:t>
            </w:r>
          </w:p>
        </w:tc>
        <w:tc>
          <w:tcPr>
            <w:tcW w:w="5528" w:type="dxa"/>
          </w:tcPr>
          <w:p w14:paraId="765A4CEA" w14:textId="77777777" w:rsidR="00F26EA3" w:rsidRPr="00DA2335" w:rsidRDefault="004A7EBC"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6E3A8A38" w14:textId="5F9D6E88" w:rsidR="004A7EBC" w:rsidRPr="00DA2335" w:rsidRDefault="004A7EBC"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Nhà giáo kiêm nhiệm các nhiệm vụ chuyên môn, các vị trí việc làm khác vẫn thuộc đối tượng theo quy định tại Điều 2 dự thảo Nghị định</w:t>
            </w:r>
          </w:p>
        </w:tc>
      </w:tr>
      <w:tr w:rsidR="00665CC6" w:rsidRPr="00DA2335" w14:paraId="4981F061" w14:textId="77777777" w:rsidTr="00C41220">
        <w:trPr>
          <w:jc w:val="center"/>
        </w:trPr>
        <w:tc>
          <w:tcPr>
            <w:tcW w:w="1696" w:type="dxa"/>
          </w:tcPr>
          <w:p w14:paraId="384747D6" w14:textId="426867E6" w:rsidR="00665CC6" w:rsidRPr="00DA2335" w:rsidRDefault="00665CC6"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Bảng lương áp dụng</w:t>
            </w:r>
          </w:p>
        </w:tc>
        <w:tc>
          <w:tcPr>
            <w:tcW w:w="1560" w:type="dxa"/>
          </w:tcPr>
          <w:p w14:paraId="219B9D68" w14:textId="23547ABA" w:rsidR="00665CC6" w:rsidRPr="00DA2335" w:rsidRDefault="00665CC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tc>
        <w:tc>
          <w:tcPr>
            <w:tcW w:w="6095" w:type="dxa"/>
          </w:tcPr>
          <w:p w14:paraId="4D0ED44F" w14:textId="77777777" w:rsidR="00665CC6" w:rsidRPr="00DA2335" w:rsidRDefault="00665CC6" w:rsidP="00DA2335">
            <w:pPr>
              <w:jc w:val="both"/>
              <w:rPr>
                <w:rFonts w:ascii="Times New Roman" w:hAnsi="Times New Roman" w:cs="Times New Roman"/>
                <w:sz w:val="26"/>
                <w:szCs w:val="26"/>
              </w:rPr>
            </w:pPr>
            <w:r w:rsidRPr="00DA2335">
              <w:rPr>
                <w:rFonts w:ascii="Times New Roman" w:hAnsi="Times New Roman" w:cs="Times New Roman"/>
                <w:sz w:val="26"/>
                <w:szCs w:val="26"/>
              </w:rPr>
              <w:t>Dự thảo chỉ quy định cho Giáo sư, chưa đề cập đến Phó Giáo sư, không đảm bảo tính hệ thống</w:t>
            </w:r>
          </w:p>
          <w:p w14:paraId="69F26F41" w14:textId="7D7CF2FE" w:rsidR="00665CC6" w:rsidRPr="00DA2335" w:rsidRDefault="00665CC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lang w:val="nl-NL"/>
              </w:rPr>
              <w:t>Đề nghị điều chỉnh “</w:t>
            </w:r>
            <w:r w:rsidRPr="00DA2335">
              <w:rPr>
                <w:rFonts w:ascii="Times New Roman" w:hAnsi="Times New Roman" w:cs="Times New Roman"/>
                <w:sz w:val="26"/>
                <w:szCs w:val="26"/>
              </w:rPr>
              <w:t>Nhà giáo được bổ nhiệm chức danh giáo sư, phó giáo sư được áp dụng bảng lương chuyên gia cao cấp”</w:t>
            </w:r>
          </w:p>
        </w:tc>
        <w:tc>
          <w:tcPr>
            <w:tcW w:w="5528" w:type="dxa"/>
          </w:tcPr>
          <w:p w14:paraId="12526BE7" w14:textId="77777777" w:rsidR="00665CC6" w:rsidRPr="00DA2335" w:rsidRDefault="00665CC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14A2ED9A" w14:textId="41E2CADA" w:rsidR="00665CC6" w:rsidRPr="00DA2335" w:rsidRDefault="00665CC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Để bảo đảm tương quan với tiêu chuẩn, điều kiện được xác định là chuyên gia cao cấp</w:t>
            </w:r>
          </w:p>
        </w:tc>
      </w:tr>
      <w:tr w:rsidR="00CB4848" w:rsidRPr="00DA2335" w14:paraId="1FC0E45C" w14:textId="77777777" w:rsidTr="00C41220">
        <w:trPr>
          <w:jc w:val="center"/>
        </w:trPr>
        <w:tc>
          <w:tcPr>
            <w:tcW w:w="1696" w:type="dxa"/>
          </w:tcPr>
          <w:p w14:paraId="71B65FFE" w14:textId="77777777" w:rsidR="00CB4848" w:rsidRPr="00DA2335" w:rsidRDefault="00CB4848" w:rsidP="00DA2335">
            <w:pPr>
              <w:jc w:val="both"/>
              <w:rPr>
                <w:rFonts w:ascii="Times New Roman" w:eastAsia="Calibri" w:hAnsi="Times New Roman" w:cs="Times New Roman"/>
                <w:b/>
                <w:sz w:val="26"/>
                <w:szCs w:val="26"/>
              </w:rPr>
            </w:pPr>
          </w:p>
        </w:tc>
        <w:tc>
          <w:tcPr>
            <w:tcW w:w="1560" w:type="dxa"/>
          </w:tcPr>
          <w:p w14:paraId="7C8D963F" w14:textId="39E9C359"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6095" w:type="dxa"/>
          </w:tcPr>
          <w:p w14:paraId="5EC9DC35" w14:textId="78AAF862" w:rsidR="00CB4848" w:rsidRPr="00DA2335" w:rsidRDefault="00CB4848" w:rsidP="00DA2335">
            <w:pPr>
              <w:jc w:val="both"/>
              <w:rPr>
                <w:rFonts w:ascii="Times New Roman" w:hAnsi="Times New Roman" w:cs="Times New Roman"/>
                <w:sz w:val="26"/>
                <w:szCs w:val="26"/>
              </w:rPr>
            </w:pPr>
            <w:r w:rsidRPr="00DA2335">
              <w:rPr>
                <w:rFonts w:ascii="Times New Roman" w:hAnsi="Times New Roman" w:cs="Times New Roman"/>
                <w:sz w:val="26"/>
                <w:szCs w:val="26"/>
              </w:rPr>
              <w:t>Về mặt kỹ thuật pháp lý, danh xưng Giáo sư không đồng nhất với Chuyên gia cao cấp. Nên quy định cơ chế tương đương: Thay vì áp dụng bảng lương chuyên gia cao cấp, dự thảo nên quy định mức lương của Giáo sư được xếp tương đương với mức lương của chuyên gia cao cấp, hoặc xây dựng một thang bậc lương riêng cho chức danh Giáo sư để cụ thể hóa nguyên tắc "lương cao nhất" trong hệ thống hành chính sự nghiệp, đảm bảo tính tự chủ, liên tục của chính sách.</w:t>
            </w:r>
          </w:p>
        </w:tc>
        <w:tc>
          <w:tcPr>
            <w:tcW w:w="5528" w:type="dxa"/>
          </w:tcPr>
          <w:p w14:paraId="1ED89D5D"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111B7B2" w14:textId="434D53C2"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Bảo đảm thực hiện các bảng lương hiện có theo Nghị định số 204/2004/NĐ-CP. Việc quy định “áp dụng</w:t>
            </w:r>
            <w:r w:rsidR="00574F66" w:rsidRPr="00DA2335">
              <w:rPr>
                <w:rFonts w:ascii="Times New Roman" w:hAnsi="Times New Roman" w:cs="Times New Roman"/>
                <w:spacing w:val="-6"/>
                <w:sz w:val="26"/>
                <w:szCs w:val="26"/>
                <w:lang w:val="pt-BR"/>
              </w:rPr>
              <w:t xml:space="preserve"> bảng lương</w:t>
            </w:r>
            <w:r w:rsidRPr="00DA2335">
              <w:rPr>
                <w:rFonts w:ascii="Times New Roman" w:hAnsi="Times New Roman" w:cs="Times New Roman"/>
                <w:spacing w:val="-6"/>
                <w:sz w:val="26"/>
                <w:szCs w:val="26"/>
                <w:lang w:val="pt-BR"/>
              </w:rPr>
              <w:t>”</w:t>
            </w:r>
            <w:r w:rsidR="00574F66" w:rsidRPr="00DA2335">
              <w:rPr>
                <w:rFonts w:ascii="Times New Roman" w:hAnsi="Times New Roman" w:cs="Times New Roman"/>
                <w:spacing w:val="-6"/>
                <w:sz w:val="26"/>
                <w:szCs w:val="26"/>
                <w:lang w:val="pt-BR"/>
              </w:rPr>
              <w:t xml:space="preserve"> không mang nghĩa khẳng định giáo sư là chuyên gia cao cấp.</w:t>
            </w:r>
          </w:p>
        </w:tc>
      </w:tr>
      <w:tr w:rsidR="00CB4848" w:rsidRPr="00DA2335" w14:paraId="1453CAC7" w14:textId="77777777" w:rsidTr="00C41220">
        <w:trPr>
          <w:jc w:val="center"/>
        </w:trPr>
        <w:tc>
          <w:tcPr>
            <w:tcW w:w="1696" w:type="dxa"/>
          </w:tcPr>
          <w:p w14:paraId="05427F6E" w14:textId="01C40FFF" w:rsidR="00CB4848" w:rsidRPr="00DA2335" w:rsidRDefault="00CB4848"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Hệ số lương đặc thù</w:t>
            </w:r>
          </w:p>
        </w:tc>
        <w:tc>
          <w:tcPr>
            <w:tcW w:w="1560" w:type="dxa"/>
          </w:tcPr>
          <w:p w14:paraId="78E5EA22" w14:textId="77777777"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Trung cấp nghề cơ khí xây dựng</w:t>
            </w:r>
          </w:p>
          <w:p w14:paraId="631F41CD" w14:textId="6EFEC688"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Cần Thơ</w:t>
            </w:r>
          </w:p>
        </w:tc>
        <w:tc>
          <w:tcPr>
            <w:tcW w:w="6095" w:type="dxa"/>
          </w:tcPr>
          <w:p w14:paraId="412C4112" w14:textId="1839DE21" w:rsidR="00CB4848" w:rsidRPr="00DA2335" w:rsidRDefault="00CB4848"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lang w:val="nl-NL"/>
              </w:rPr>
              <w:t>Đề nghị đóng bảo hiểm xã hội đối với hệ số lương đặc thù để bảo đảm mức đóng bảo hiểm xã hội. Chính sách tiền lương mới mang tính “cải cách – cân bằng lại”, hướng đến bình đẳng theo vị trí việc làm, thay vì “ưu tiên theo thâm niên”.</w:t>
            </w:r>
          </w:p>
        </w:tc>
        <w:tc>
          <w:tcPr>
            <w:tcW w:w="5528" w:type="dxa"/>
          </w:tcPr>
          <w:p w14:paraId="067EEDD6"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w:t>
            </w:r>
          </w:p>
          <w:p w14:paraId="59C92315" w14:textId="701314A8"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Đã quy định cụ thể “</w:t>
            </w:r>
            <w:r w:rsidRPr="00DA2335">
              <w:rPr>
                <w:rFonts w:ascii="Times New Roman" w:hAnsi="Times New Roman" w:cs="Times New Roman"/>
                <w:color w:val="EE0000"/>
                <w:sz w:val="26"/>
                <w:szCs w:val="26"/>
              </w:rPr>
              <w:t>Hệ số lương đặc thù được dùng để tính đóng, hưởng chế độ bảo hiểm xã hội” tại khoản 3 Điều 5 dự thảo Nghị định</w:t>
            </w:r>
          </w:p>
        </w:tc>
      </w:tr>
      <w:tr w:rsidR="00CB4848" w:rsidRPr="00DA2335" w14:paraId="4FBD2531" w14:textId="77777777" w:rsidTr="00C41220">
        <w:trPr>
          <w:jc w:val="center"/>
        </w:trPr>
        <w:tc>
          <w:tcPr>
            <w:tcW w:w="1696" w:type="dxa"/>
          </w:tcPr>
          <w:p w14:paraId="69BAF8CE" w14:textId="77777777" w:rsidR="00CB4848" w:rsidRPr="00DA2335" w:rsidRDefault="00CB4848" w:rsidP="00DA2335">
            <w:pPr>
              <w:jc w:val="both"/>
              <w:rPr>
                <w:rFonts w:ascii="Times New Roman" w:eastAsia="Calibri" w:hAnsi="Times New Roman" w:cs="Times New Roman"/>
                <w:b/>
                <w:sz w:val="26"/>
                <w:szCs w:val="26"/>
              </w:rPr>
            </w:pPr>
          </w:p>
        </w:tc>
        <w:tc>
          <w:tcPr>
            <w:tcW w:w="1560" w:type="dxa"/>
          </w:tcPr>
          <w:p w14:paraId="34436A99" w14:textId="77777777"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p w14:paraId="44E7DBD7" w14:textId="22513603" w:rsidR="00B02881" w:rsidRPr="00DA2335" w:rsidRDefault="00B02881"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Quốc dân</w:t>
            </w:r>
          </w:p>
        </w:tc>
        <w:tc>
          <w:tcPr>
            <w:tcW w:w="6095" w:type="dxa"/>
          </w:tcPr>
          <w:p w14:paraId="0A4C98FF" w14:textId="0D6B2BD5" w:rsidR="00CB4848" w:rsidRPr="00DA2335" w:rsidRDefault="00B02881" w:rsidP="00DA2335">
            <w:pPr>
              <w:rPr>
                <w:rFonts w:ascii="Times New Roman" w:hAnsi="Times New Roman" w:cs="Times New Roman"/>
                <w:sz w:val="26"/>
                <w:szCs w:val="26"/>
              </w:rPr>
            </w:pPr>
            <w:r w:rsidRPr="00DA2335">
              <w:rPr>
                <w:rFonts w:ascii="Times New Roman" w:hAnsi="Times New Roman" w:cs="Times New Roman"/>
                <w:sz w:val="26"/>
                <w:szCs w:val="26"/>
              </w:rPr>
              <w:t xml:space="preserve">* </w:t>
            </w:r>
            <w:r w:rsidR="00CB4848" w:rsidRPr="00DA2335">
              <w:rPr>
                <w:rFonts w:ascii="Times New Roman" w:hAnsi="Times New Roman" w:cs="Times New Roman"/>
                <w:sz w:val="26"/>
                <w:szCs w:val="26"/>
              </w:rPr>
              <w:t>Chưa phản ánh đúng sự khác biệt về trình độ đào tạo (Đại học, Thạc sĩ, Tiến sĩ), chuyên môn, yêu cầu nghiệp vụ yêu cầu đối với từng cấp học từ tiểu học đến đại học.</w:t>
            </w:r>
          </w:p>
          <w:p w14:paraId="07E5112A" w14:textId="2E86F408"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Đề nghị điều chỉnh hệ số theo từng cấp học:</w:t>
            </w:r>
          </w:p>
          <w:p w14:paraId="79D0352C" w14:textId="77777777"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 xml:space="preserve"> - Giảng viên đại học: 1,25-1,3</w:t>
            </w:r>
          </w:p>
          <w:p w14:paraId="4394CCAC" w14:textId="77777777"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 Giáo viên THPT: 1,2</w:t>
            </w:r>
          </w:p>
          <w:p w14:paraId="3E7CCDB5" w14:textId="77777777"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 Giáo viên THCS: 1,18</w:t>
            </w:r>
          </w:p>
          <w:p w14:paraId="54EC6FD2" w14:textId="77777777"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 Giáo viên tiểu học: 1,15</w:t>
            </w:r>
          </w:p>
          <w:p w14:paraId="794A5512" w14:textId="77777777" w:rsidR="00CB4848" w:rsidRPr="00DA2335" w:rsidRDefault="00CB4848" w:rsidP="00DA2335">
            <w:pPr>
              <w:jc w:val="both"/>
              <w:rPr>
                <w:rFonts w:ascii="Times New Roman" w:hAnsi="Times New Roman" w:cs="Times New Roman"/>
                <w:sz w:val="26"/>
                <w:szCs w:val="26"/>
              </w:rPr>
            </w:pPr>
            <w:r w:rsidRPr="00DA2335">
              <w:rPr>
                <w:rFonts w:ascii="Times New Roman" w:hAnsi="Times New Roman" w:cs="Times New Roman"/>
                <w:sz w:val="26"/>
                <w:szCs w:val="26"/>
              </w:rPr>
              <w:t>- Giáo viên mẫu giáo: 1,25</w:t>
            </w:r>
          </w:p>
          <w:p w14:paraId="0DE99B41" w14:textId="12D8F05A" w:rsidR="00B02881" w:rsidRPr="00DA2335" w:rsidRDefault="00B02881"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rPr>
              <w:t xml:space="preserve">* Đề nghị tăng mức đối với giảng viên: </w:t>
            </w:r>
            <w:r w:rsidRPr="00DA2335">
              <w:rPr>
                <w:rFonts w:ascii="Times New Roman" w:hAnsi="Times New Roman" w:cs="Times New Roman"/>
                <w:color w:val="000000"/>
                <w:sz w:val="26"/>
                <w:szCs w:val="26"/>
              </w:rPr>
              <w:t>Đề nghị </w:t>
            </w:r>
            <w:r w:rsidRPr="00DA2335">
              <w:rPr>
                <w:rFonts w:ascii="Times New Roman" w:hAnsi="Times New Roman" w:cs="Times New Roman"/>
                <w:bCs/>
                <w:color w:val="000000"/>
                <w:sz w:val="26"/>
                <w:szCs w:val="26"/>
              </w:rPr>
              <w:t>điều chỉnh tăng lên mức 1,2</w:t>
            </w:r>
            <w:r w:rsidRPr="00DA2335">
              <w:rPr>
                <w:rFonts w:ascii="Times New Roman" w:hAnsi="Times New Roman" w:cs="Times New Roman"/>
                <w:color w:val="000000"/>
                <w:sz w:val="26"/>
                <w:szCs w:val="26"/>
              </w:rPr>
              <w:t> đối với giảng viên đại học các ngành có mức lương thị trường cao và khan hiếm nguồn, hoặc cho phép các trường tự chủ cao được áp dụng mức linh hoạt hơn từ nguồn thu hợp pháp.</w:t>
            </w:r>
          </w:p>
        </w:tc>
        <w:tc>
          <w:tcPr>
            <w:tcW w:w="5528" w:type="dxa"/>
          </w:tcPr>
          <w:p w14:paraId="79B7E465"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358EAF5F"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Thang, bảng lương áp dụng hiện nay đã hể hiện sự khác biệt về chương trình giảng dạy, trình độ, yêu cầu chuyên môn, nghiệp vụ của từng cấp học, trình độ đào tạo</w:t>
            </w:r>
            <w:r w:rsidR="00B02881" w:rsidRPr="00DA2335">
              <w:rPr>
                <w:rFonts w:ascii="Times New Roman" w:hAnsi="Times New Roman" w:cs="Times New Roman"/>
                <w:spacing w:val="-6"/>
                <w:sz w:val="26"/>
                <w:szCs w:val="26"/>
                <w:lang w:val="pt-BR"/>
              </w:rPr>
              <w:t>.</w:t>
            </w:r>
          </w:p>
          <w:p w14:paraId="55F5BF6A" w14:textId="7BB13EDA" w:rsidR="00B02881" w:rsidRPr="00DA2335" w:rsidRDefault="00B02881"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rPr>
              <w:t>Tuy nhiên, khoản 3 Điều 11 dự thảo Nghị định quy định “</w:t>
            </w:r>
            <w:r w:rsidRPr="00DA2335">
              <w:rPr>
                <w:rFonts w:ascii="Times New Roman" w:hAnsi="Times New Roman" w:cs="Times New Roman"/>
                <w:sz w:val="26"/>
                <w:szCs w:val="26"/>
              </w:rPr>
              <w:t>Căn cứ vào điều kiện thực tiễn và nguồn tài chính của đơn vị, cơ sở giáo dục đại học, cơ sở giáo dục nghề nghiệp có thể chi trả các chế độ, chính sách quy định tại Nghị định này ở mức cao hơn và được quy định trong quy chế chi tiêu nội bộ của đơn vị.”. Như vậy, cơ sở giáo dục có thể tăng mức như đề xuất.</w:t>
            </w:r>
          </w:p>
        </w:tc>
      </w:tr>
      <w:tr w:rsidR="00CB4848" w:rsidRPr="00DA2335" w14:paraId="6EC89FD1" w14:textId="77777777" w:rsidTr="00C41220">
        <w:trPr>
          <w:jc w:val="center"/>
        </w:trPr>
        <w:tc>
          <w:tcPr>
            <w:tcW w:w="1696" w:type="dxa"/>
          </w:tcPr>
          <w:p w14:paraId="2DBDCCC6" w14:textId="77777777" w:rsidR="00CB4848" w:rsidRPr="00DA2335" w:rsidRDefault="00CB4848" w:rsidP="00DA2335">
            <w:pPr>
              <w:jc w:val="both"/>
              <w:rPr>
                <w:rFonts w:ascii="Times New Roman" w:eastAsia="Calibri" w:hAnsi="Times New Roman" w:cs="Times New Roman"/>
                <w:b/>
                <w:sz w:val="26"/>
                <w:szCs w:val="26"/>
              </w:rPr>
            </w:pPr>
          </w:p>
        </w:tc>
        <w:tc>
          <w:tcPr>
            <w:tcW w:w="1560" w:type="dxa"/>
          </w:tcPr>
          <w:p w14:paraId="65658B5D" w14:textId="2CB25306"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tc>
        <w:tc>
          <w:tcPr>
            <w:tcW w:w="6095" w:type="dxa"/>
          </w:tcPr>
          <w:p w14:paraId="03A05AE9" w14:textId="7148A3C1" w:rsidR="00CB4848" w:rsidRPr="00DA2335" w:rsidRDefault="00CB4848" w:rsidP="00DA2335">
            <w:pPr>
              <w:rPr>
                <w:rFonts w:ascii="Times New Roman" w:hAnsi="Times New Roman" w:cs="Times New Roman"/>
                <w:sz w:val="26"/>
                <w:szCs w:val="26"/>
              </w:rPr>
            </w:pPr>
            <w:r w:rsidRPr="00DA2335">
              <w:rPr>
                <w:rFonts w:ascii="Times New Roman" w:hAnsi="Times New Roman" w:cs="Times New Roman"/>
                <w:sz w:val="26"/>
                <w:szCs w:val="26"/>
              </w:rPr>
              <w:t>Chưa có chính sách riêng cho giảng viên dạy toàn thời gian bằng ngoại ngữ trong chương trình quốc tế. Bổ sung: giảng viên dạy toàn thời gian bằng ngoại ngữ được hưởng hệ số lương đặc thù 1,35 so với hệ số lương hiện hưởng.</w:t>
            </w:r>
          </w:p>
        </w:tc>
        <w:tc>
          <w:tcPr>
            <w:tcW w:w="5528" w:type="dxa"/>
          </w:tcPr>
          <w:p w14:paraId="1550D898"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39CC543E" w14:textId="415EE584"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Đã có chế độ phụ cấp trách nhiệm công việc cho nhà giáo dạy môn học bằng ngoại ngữ tại Điều 7</w:t>
            </w:r>
          </w:p>
        </w:tc>
      </w:tr>
      <w:tr w:rsidR="00A50528" w:rsidRPr="00DA2335" w14:paraId="5532E0B1" w14:textId="77777777" w:rsidTr="00C41220">
        <w:trPr>
          <w:jc w:val="center"/>
        </w:trPr>
        <w:tc>
          <w:tcPr>
            <w:tcW w:w="1696" w:type="dxa"/>
          </w:tcPr>
          <w:p w14:paraId="6A6A6C4F" w14:textId="77777777" w:rsidR="00A50528" w:rsidRPr="00DA2335" w:rsidRDefault="00A50528" w:rsidP="00DA2335">
            <w:pPr>
              <w:jc w:val="both"/>
              <w:rPr>
                <w:rFonts w:ascii="Times New Roman" w:eastAsia="Calibri" w:hAnsi="Times New Roman" w:cs="Times New Roman"/>
                <w:b/>
                <w:sz w:val="26"/>
                <w:szCs w:val="26"/>
              </w:rPr>
            </w:pPr>
          </w:p>
        </w:tc>
        <w:tc>
          <w:tcPr>
            <w:tcW w:w="1560" w:type="dxa"/>
          </w:tcPr>
          <w:p w14:paraId="0FCA1261" w14:textId="1C26C4E1" w:rsidR="00A50528" w:rsidRPr="00DA2335" w:rsidRDefault="00A5052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Mở HN</w:t>
            </w:r>
          </w:p>
        </w:tc>
        <w:tc>
          <w:tcPr>
            <w:tcW w:w="6095" w:type="dxa"/>
          </w:tcPr>
          <w:p w14:paraId="562FDA7E" w14:textId="2AF9F506" w:rsidR="00A50528" w:rsidRPr="00DA2335" w:rsidRDefault="00A50528" w:rsidP="00DA2335">
            <w:pPr>
              <w:rPr>
                <w:rFonts w:ascii="Times New Roman" w:hAnsi="Times New Roman" w:cs="Times New Roman"/>
                <w:sz w:val="26"/>
                <w:szCs w:val="26"/>
              </w:rPr>
            </w:pPr>
            <w:r w:rsidRPr="00DA2335">
              <w:rPr>
                <w:rFonts w:ascii="Times New Roman" w:hAnsi="Times New Roman" w:cs="Times New Roman"/>
                <w:sz w:val="26"/>
                <w:szCs w:val="26"/>
              </w:rPr>
              <w:t>Đề nghị hệ số lương đặc thù được tính mức phụ cấp</w:t>
            </w:r>
          </w:p>
        </w:tc>
        <w:tc>
          <w:tcPr>
            <w:tcW w:w="5528" w:type="dxa"/>
          </w:tcPr>
          <w:p w14:paraId="2168FE19" w14:textId="77777777" w:rsidR="00A50528" w:rsidRPr="00DA2335" w:rsidRDefault="00A5052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4DE0A04" w14:textId="3DC8056E" w:rsidR="00A50528" w:rsidRPr="00DA2335" w:rsidRDefault="00A5052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Làm gia tăng cách biệt giữa người mới và người có thâm niên</w:t>
            </w:r>
          </w:p>
        </w:tc>
      </w:tr>
      <w:tr w:rsidR="00CB4848" w:rsidRPr="00DA2335" w14:paraId="1CC517B0" w14:textId="77777777" w:rsidTr="00C41220">
        <w:trPr>
          <w:jc w:val="center"/>
        </w:trPr>
        <w:tc>
          <w:tcPr>
            <w:tcW w:w="1696" w:type="dxa"/>
          </w:tcPr>
          <w:p w14:paraId="77BE6487" w14:textId="0CBEE3DF" w:rsidR="00CB4848" w:rsidRPr="00DA2335" w:rsidRDefault="00CB4848"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Công thức tính</w:t>
            </w:r>
          </w:p>
        </w:tc>
        <w:tc>
          <w:tcPr>
            <w:tcW w:w="1560" w:type="dxa"/>
          </w:tcPr>
          <w:p w14:paraId="5E2396A9" w14:textId="4A8B2948" w:rsidR="00CB4848" w:rsidRPr="00DA2335" w:rsidRDefault="00CB484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ĐH Cần Thơ</w:t>
            </w:r>
          </w:p>
        </w:tc>
        <w:tc>
          <w:tcPr>
            <w:tcW w:w="6095" w:type="dxa"/>
          </w:tcPr>
          <w:p w14:paraId="1657C8E8" w14:textId="19F9CA49" w:rsidR="00CB4848" w:rsidRPr="00DA2335" w:rsidRDefault="00CB4848"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rPr>
              <w:t>Cần làm rõ phụ cấp tính theo % mức lương hiện hưởng là tính theo mức gì</w:t>
            </w:r>
          </w:p>
        </w:tc>
        <w:tc>
          <w:tcPr>
            <w:tcW w:w="5528" w:type="dxa"/>
          </w:tcPr>
          <w:p w14:paraId="2E23EFA9" w14:textId="7777777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40C33B42" w14:textId="30007237" w:rsidR="00CB4848" w:rsidRPr="00DA2335" w:rsidRDefault="00CB484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z w:val="26"/>
                <w:szCs w:val="26"/>
              </w:rPr>
              <w:t>Thông tư số 07/2024/TT-BNV ngày 05/7/2024 của Bộ trưởng Bộ Nội vụ 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 hiện đang quy định rõ cách tính mức lương, phụ cấp và hoạt động phí.</w:t>
            </w:r>
          </w:p>
        </w:tc>
      </w:tr>
      <w:tr w:rsidR="00574F66" w:rsidRPr="00DA2335" w14:paraId="07D78F43" w14:textId="77777777" w:rsidTr="00C41220">
        <w:trPr>
          <w:jc w:val="center"/>
        </w:trPr>
        <w:tc>
          <w:tcPr>
            <w:tcW w:w="1696" w:type="dxa"/>
          </w:tcPr>
          <w:p w14:paraId="2B342D31" w14:textId="77777777" w:rsidR="00574F66" w:rsidRPr="00DA2335" w:rsidRDefault="00574F66" w:rsidP="00DA2335">
            <w:pPr>
              <w:jc w:val="both"/>
              <w:rPr>
                <w:rFonts w:ascii="Times New Roman" w:eastAsia="Calibri" w:hAnsi="Times New Roman" w:cs="Times New Roman"/>
                <w:b/>
                <w:sz w:val="26"/>
                <w:szCs w:val="26"/>
              </w:rPr>
            </w:pPr>
          </w:p>
        </w:tc>
        <w:tc>
          <w:tcPr>
            <w:tcW w:w="1560" w:type="dxa"/>
          </w:tcPr>
          <w:p w14:paraId="0BB68A0B" w14:textId="0CCF9E7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6095" w:type="dxa"/>
          </w:tcPr>
          <w:p w14:paraId="74DA8848" w14:textId="78F25818"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Dự thảo quy định Hệ số lương đặc thù không dùng để tính mức phụ cấp. Việc này nhằm đảm bảo đồng nhất công thức tính phụ cấp theo hướng dẫn của Bộ Nội vụ. Tuy nhiên, đối với các loại phụ cấp tính theo % mức lương hiện hưởng cộng phụ cấp chức vụ lãnh đạo và phụ cấp thâm niên vượt khung (nếu có), việc không nhân hệ số đặc thù có thể dẫn đến tổng thu nhập thực tế của nhà giáo (từ các phụ cấp này) bị giảm tương đối so với nếu hệ số đặc thù được tính. Cần bổ sung quy định hoặc có hướng dẫn cụ thể về việc tính toán các loại phụ cấp theo % lương (ví dụ: các loại phụ cấp trách nhiệm công việc, phụ cấp lưu động tính theo % mức lương cơ sở thì  không áp dụng hệ số lương đặc thù; các loại phụ cấp được tính theo % mức lương hiện hưởng như phụ cấp thâm niên vượt khung phải được tính trên mức lương có hệ số lương đặc thù.</w:t>
            </w:r>
          </w:p>
        </w:tc>
        <w:tc>
          <w:tcPr>
            <w:tcW w:w="5528" w:type="dxa"/>
          </w:tcPr>
          <w:p w14:paraId="68AD4B8E"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7EAB2C83" w14:textId="166A402D"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 xml:space="preserve">Hệ số lương đặc thù không làm ảnh hưởng đến việc tính các loại phụ cấp. </w:t>
            </w:r>
            <w:r w:rsidRPr="00DA2335">
              <w:rPr>
                <w:rFonts w:ascii="Times New Roman" w:hAnsi="Times New Roman" w:cs="Times New Roman"/>
                <w:sz w:val="26"/>
                <w:szCs w:val="26"/>
              </w:rPr>
              <w:t>Thông tư số 07/2024/TT-BNV ngày 05/7/2024 của Bộ trưởng Bộ Nội vụ 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 hiện đang quy định rõ cách tính mức lương, phụ cấp và hoạt động phí.</w:t>
            </w:r>
          </w:p>
        </w:tc>
      </w:tr>
      <w:tr w:rsidR="00574F66" w:rsidRPr="00DA2335" w14:paraId="4C42F9FF" w14:textId="77777777" w:rsidTr="00C41220">
        <w:trPr>
          <w:jc w:val="center"/>
        </w:trPr>
        <w:tc>
          <w:tcPr>
            <w:tcW w:w="1696" w:type="dxa"/>
          </w:tcPr>
          <w:p w14:paraId="7C710624" w14:textId="79905E8A" w:rsidR="00574F66" w:rsidRPr="00DA2335" w:rsidRDefault="00574F66"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Nguyên tắc thực hiện chế độ phụ cấp</w:t>
            </w:r>
          </w:p>
        </w:tc>
        <w:tc>
          <w:tcPr>
            <w:tcW w:w="1560" w:type="dxa"/>
          </w:tcPr>
          <w:p w14:paraId="17059874" w14:textId="5A6E891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tc>
        <w:tc>
          <w:tcPr>
            <w:tcW w:w="6095" w:type="dxa"/>
          </w:tcPr>
          <w:p w14:paraId="20B99E8E" w14:textId="77777777" w:rsidR="00574F66" w:rsidRPr="00DA2335" w:rsidRDefault="00574F66" w:rsidP="00DA2335">
            <w:pPr>
              <w:jc w:val="both"/>
              <w:rPr>
                <w:rFonts w:ascii="Times New Roman" w:hAnsi="Times New Roman" w:cs="Times New Roman"/>
                <w:bCs/>
                <w:sz w:val="26"/>
                <w:szCs w:val="26"/>
              </w:rPr>
            </w:pPr>
            <w:r w:rsidRPr="00DA2335">
              <w:rPr>
                <w:rFonts w:ascii="Times New Roman" w:hAnsi="Times New Roman" w:cs="Times New Roman"/>
                <w:sz w:val="26"/>
                <w:szCs w:val="26"/>
              </w:rPr>
              <w:t xml:space="preserve">Thực hiện </w:t>
            </w:r>
            <w:r w:rsidRPr="00DA2335">
              <w:rPr>
                <w:rFonts w:ascii="Times New Roman" w:hAnsi="Times New Roman" w:cs="Times New Roman"/>
                <w:bCs/>
                <w:sz w:val="26"/>
                <w:szCs w:val="26"/>
              </w:rPr>
              <w:t>Nghị quyết số 27-NQ/TW thì dự kiến sẽ bãi bỏ phụ cấp thâm niên nghề khi thực hiện cải cách chính sách tiền lương. Việc này có thể dẫn đến làm giảm thu nhập của một số nhà giáo công tác tại các cơ sở giáo dục công lập.</w:t>
            </w:r>
          </w:p>
          <w:p w14:paraId="4CB659E7" w14:textId="7EB7E887" w:rsidR="00574F66" w:rsidRPr="00DA2335" w:rsidRDefault="00574F6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rPr>
              <w:t>Đề xuất cơ quan soạn thảo xem xét bổ sung nguyên tắc về việc bảo lưu phụ cấp thâm niên nghề đối với nhà giáo trong trường hợp sau khi thực hiện cải cách chính sách tiền lương mà thu nhập của nhà giáo bị giảm sút (nếu có), đồng thời có lộ trình cụ thể để bảo đảm thu nhập cho nhà giáo trong trường hợp này.</w:t>
            </w:r>
          </w:p>
        </w:tc>
        <w:tc>
          <w:tcPr>
            <w:tcW w:w="5528" w:type="dxa"/>
          </w:tcPr>
          <w:p w14:paraId="02ED53E1"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AA3E2DD" w14:textId="4230A653"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Khoản 2 Điều 42 Luật Nhà giáo đã quy định “</w:t>
            </w:r>
            <w:r w:rsidRPr="00DA2335">
              <w:rPr>
                <w:rFonts w:ascii="Times New Roman" w:hAnsi="Times New Roman" w:cs="Times New Roman"/>
                <w:spacing w:val="-6"/>
                <w:sz w:val="26"/>
                <w:szCs w:val="26"/>
              </w:rPr>
              <w:t>Nhà giáo tiếp tục hưởng phụ cấp thâm niên nhà giáo cho đến khi thực hiện cải cách chính sách tiền lương đối với cán bộ, công chức, viên chức, lực lượng vũ trang nhân dân và người lao động trong doanh nghiệp.” Do đó, Nghị định này không quy định lại việc bảo lưu phụ cấp thâm niên nhà giáo.</w:t>
            </w:r>
          </w:p>
        </w:tc>
      </w:tr>
      <w:tr w:rsidR="00574F66" w:rsidRPr="00DA2335" w14:paraId="1AF399ED" w14:textId="77777777" w:rsidTr="00C41220">
        <w:trPr>
          <w:jc w:val="center"/>
        </w:trPr>
        <w:tc>
          <w:tcPr>
            <w:tcW w:w="1696" w:type="dxa"/>
          </w:tcPr>
          <w:p w14:paraId="77BCFC63" w14:textId="77777777" w:rsidR="00574F66" w:rsidRPr="00DA2335" w:rsidRDefault="00574F66" w:rsidP="00DA2335">
            <w:pPr>
              <w:jc w:val="both"/>
              <w:rPr>
                <w:rFonts w:ascii="Times New Roman" w:eastAsia="Calibri" w:hAnsi="Times New Roman" w:cs="Times New Roman"/>
                <w:b/>
                <w:sz w:val="26"/>
                <w:szCs w:val="26"/>
              </w:rPr>
            </w:pPr>
          </w:p>
        </w:tc>
        <w:tc>
          <w:tcPr>
            <w:tcW w:w="1560" w:type="dxa"/>
          </w:tcPr>
          <w:p w14:paraId="282B4EC3" w14:textId="79B62F72"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tc>
        <w:tc>
          <w:tcPr>
            <w:tcW w:w="6095" w:type="dxa"/>
          </w:tcPr>
          <w:p w14:paraId="20795ECA" w14:textId="3DA9CE58"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Các khoản phụ cấp như phụ cấp trách nhiệm, phụ cấp nặng nhọc, độc hại, nguy hiểm được quy định “không dùng để tính, đóng, hưởng BHXH”. Tuy nhiên, đây là các khoản thu nhập thường xuyên, gắn với tính chất nghề nghiệp. Đề nghị quy định rõ: “Các phụ cấp có tính ổn định, chi trả thường xuyên và gắn liền với công việc được dùng để tính đóng, hưởng bảo hiểm xã hội.”</w:t>
            </w:r>
          </w:p>
        </w:tc>
        <w:tc>
          <w:tcPr>
            <w:tcW w:w="5528" w:type="dxa"/>
          </w:tcPr>
          <w:p w14:paraId="251BA83E"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6B363DF4" w14:textId="6369B1DA"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Đảm bảo tính thống nhất với quy định hiện hành của pháp luật.</w:t>
            </w:r>
          </w:p>
        </w:tc>
      </w:tr>
      <w:tr w:rsidR="00574F66" w:rsidRPr="00DA2335" w14:paraId="1D9C657D" w14:textId="77777777" w:rsidTr="00C41220">
        <w:trPr>
          <w:jc w:val="center"/>
        </w:trPr>
        <w:tc>
          <w:tcPr>
            <w:tcW w:w="1696" w:type="dxa"/>
          </w:tcPr>
          <w:p w14:paraId="6C5D26ED" w14:textId="77777777" w:rsidR="00574F66" w:rsidRPr="00DA2335" w:rsidRDefault="00574F66" w:rsidP="00DA2335">
            <w:pPr>
              <w:jc w:val="both"/>
              <w:rPr>
                <w:rFonts w:ascii="Times New Roman" w:eastAsia="Calibri" w:hAnsi="Times New Roman" w:cs="Times New Roman"/>
                <w:b/>
                <w:sz w:val="26"/>
                <w:szCs w:val="26"/>
              </w:rPr>
            </w:pPr>
          </w:p>
        </w:tc>
        <w:tc>
          <w:tcPr>
            <w:tcW w:w="1560" w:type="dxa"/>
          </w:tcPr>
          <w:p w14:paraId="4CAB476F" w14:textId="37CE2B41"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tc>
        <w:tc>
          <w:tcPr>
            <w:tcW w:w="6095" w:type="dxa"/>
          </w:tcPr>
          <w:p w14:paraId="61E0588B" w14:textId="28389512"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Bổ sung điều mới – Phụ cấp nghiên cứu khoa học và đổi mới sáng tạo. Chưa có phụ cấp cho giảng viên nghiên cứu khoa học – nhiệm vụ bắt buộc theo Luật Nhà giáo. Bổ sung quy định phụ cấp nghiên cứu khoa học (0,2–2,0 lần mức lương cơ sở tùy loại hình).</w:t>
            </w:r>
          </w:p>
        </w:tc>
        <w:tc>
          <w:tcPr>
            <w:tcW w:w="5528" w:type="dxa"/>
          </w:tcPr>
          <w:p w14:paraId="542421B2"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76B1C9EC" w14:textId="32B2B578"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Tuân thủ các loại phụ cấp theo quy định của Chính phủ tại Nghị định số 204/2004/NĐ-CP.</w:t>
            </w:r>
          </w:p>
        </w:tc>
      </w:tr>
      <w:tr w:rsidR="00574F66" w:rsidRPr="00DA2335" w14:paraId="68B57F95" w14:textId="77777777" w:rsidTr="00C41220">
        <w:trPr>
          <w:jc w:val="center"/>
        </w:trPr>
        <w:tc>
          <w:tcPr>
            <w:tcW w:w="1696" w:type="dxa"/>
          </w:tcPr>
          <w:p w14:paraId="3C93D0B3" w14:textId="78F645A7" w:rsidR="00574F66" w:rsidRPr="00DA2335" w:rsidRDefault="00574F66"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Phụ cấp trách nhiệm công việc</w:t>
            </w:r>
          </w:p>
        </w:tc>
        <w:tc>
          <w:tcPr>
            <w:tcW w:w="1560" w:type="dxa"/>
          </w:tcPr>
          <w:p w14:paraId="0DBA3E38" w14:textId="4BB6424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tc>
        <w:tc>
          <w:tcPr>
            <w:tcW w:w="6095" w:type="dxa"/>
          </w:tcPr>
          <w:p w14:paraId="22E28E18" w14:textId="7777777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Điểm a khoản 1 Điều 7 quy định về mức hưởng và đối tượng hưởng phụ cấp trách nhiệm công việc: “Mức 0,1 so với mức lương cơ sở áp dụng đối với nhà giáo được giao thực hiện công tác tư vấn học sinh;”</w:t>
            </w:r>
          </w:p>
          <w:p w14:paraId="7BC3E476" w14:textId="7777777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Tại trường đại học, một số giảng viên có tham gia vào công tác tư vấn tuyển sinh tại các trường trung học phổ thông/ ngày hội tư vấn tuyển sinh, đối tượng tư vấn trong trường hợp này đa phần là các bạn học sinh. Vậy mức phụ cấp này có áp dụng đối với giảng viên đại học trong trường hợp này hay không?</w:t>
            </w:r>
          </w:p>
          <w:p w14:paraId="3CF19FFE" w14:textId="12597F5F"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Đề xuất cơ quan soạn thảo xem xét để làm rõ nội dung liên quan đến phụ cấp trách nhiệm trong công tác tư vấn học sinh như đã đề cập.</w:t>
            </w:r>
          </w:p>
        </w:tc>
        <w:tc>
          <w:tcPr>
            <w:tcW w:w="5528" w:type="dxa"/>
          </w:tcPr>
          <w:p w14:paraId="751C4580" w14:textId="30BC1480"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w:t>
            </w:r>
          </w:p>
          <w:p w14:paraId="1C93AF37" w14:textId="69B9414B"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Đã làm rõ đối tượng là “</w:t>
            </w:r>
            <w:r w:rsidRPr="00DA2335">
              <w:rPr>
                <w:rFonts w:ascii="Times New Roman" w:hAnsi="Times New Roman" w:cs="Times New Roman"/>
                <w:sz w:val="26"/>
                <w:szCs w:val="26"/>
              </w:rPr>
              <w:t>Mức 0,1 so với mức lương cơ sở áp dụng đối với nhà giáo được giao thực hiện công tác tư vấn học đường và công tác xã hội trong trường học”</w:t>
            </w:r>
          </w:p>
        </w:tc>
      </w:tr>
      <w:tr w:rsidR="00574F66" w:rsidRPr="00DA2335" w14:paraId="70877D57" w14:textId="77777777" w:rsidTr="00C41220">
        <w:trPr>
          <w:jc w:val="center"/>
        </w:trPr>
        <w:tc>
          <w:tcPr>
            <w:tcW w:w="1696" w:type="dxa"/>
          </w:tcPr>
          <w:p w14:paraId="31125456" w14:textId="77777777" w:rsidR="00574F66" w:rsidRPr="00DA2335" w:rsidRDefault="00574F66" w:rsidP="00DA2335">
            <w:pPr>
              <w:jc w:val="both"/>
              <w:rPr>
                <w:rFonts w:ascii="Times New Roman" w:eastAsia="Calibri" w:hAnsi="Times New Roman" w:cs="Times New Roman"/>
                <w:b/>
                <w:sz w:val="26"/>
                <w:szCs w:val="26"/>
              </w:rPr>
            </w:pPr>
          </w:p>
        </w:tc>
        <w:tc>
          <w:tcPr>
            <w:tcW w:w="1560" w:type="dxa"/>
          </w:tcPr>
          <w:p w14:paraId="42F68FB5" w14:textId="77777777"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Hà Nội</w:t>
            </w:r>
          </w:p>
          <w:p w14:paraId="273A2AFB" w14:textId="1654D06B" w:rsidR="00A50528" w:rsidRPr="00DA2335" w:rsidRDefault="00A5052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Quốc dân</w:t>
            </w:r>
          </w:p>
        </w:tc>
        <w:tc>
          <w:tcPr>
            <w:tcW w:w="6095" w:type="dxa"/>
          </w:tcPr>
          <w:p w14:paraId="7D8F9A73" w14:textId="5ABE03CB"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Phụ cấp giảng dạy bằng ngoại ngữ với mức 0,3 chưa tương xứng, chưa có tiêu chuẩn năng lực ngoại ngữ. Đề nghị tăng mức 0,4–0,5; yêu cầu năng lực tối thiểu IELTS 6.5; phụ cấp biên soạn giáo trình bằng ngoại ngữ.</w:t>
            </w:r>
          </w:p>
        </w:tc>
        <w:tc>
          <w:tcPr>
            <w:tcW w:w="5528" w:type="dxa"/>
          </w:tcPr>
          <w:p w14:paraId="0B1E90BD"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2EA36B1E"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Để bảo đảm tương quan giữa tính chất, mức độ phức tạp và trách nhiệm công việc.</w:t>
            </w:r>
          </w:p>
          <w:p w14:paraId="19941780"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rPr>
            </w:pPr>
            <w:r w:rsidRPr="00DA2335">
              <w:rPr>
                <w:rFonts w:ascii="Times New Roman" w:hAnsi="Times New Roman" w:cs="Times New Roman"/>
                <w:spacing w:val="-6"/>
                <w:sz w:val="26"/>
                <w:szCs w:val="26"/>
                <w:lang w:val="pt-BR"/>
              </w:rPr>
              <w:t xml:space="preserve">Hiện mức 0,5 đang chi trả cho </w:t>
            </w:r>
            <w:r w:rsidRPr="00DA2335">
              <w:rPr>
                <w:rFonts w:ascii="Times New Roman" w:hAnsi="Times New Roman" w:cs="Times New Roman"/>
                <w:spacing w:val="-6"/>
                <w:sz w:val="26"/>
                <w:szCs w:val="26"/>
              </w:rPr>
              <w:t>cán bộ, công chức, viên chức thuộc biên chế trả lương của các phòng Bảo vệ sức khoẻ Trung ương 2, Bảo vệ sức khoẻ Trung ương 3, Bảo vệ sức khoẻ Trung ương 5 thuộc Bệnh viện Hữu nghị và phòng Bảo vệ sức khoẻ cán bộ Trung ương phía Nam thuộc Bệnh viện Thống nhất.</w:t>
            </w:r>
          </w:p>
          <w:p w14:paraId="0925219F" w14:textId="4961B3C3"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rPr>
              <w:t>Tuy nhiên, khoản 3 Điều 11 dự thảo Nghị định quy định “</w:t>
            </w:r>
            <w:r w:rsidRPr="00DA2335">
              <w:rPr>
                <w:rFonts w:ascii="Times New Roman" w:hAnsi="Times New Roman" w:cs="Times New Roman"/>
                <w:sz w:val="26"/>
                <w:szCs w:val="26"/>
              </w:rPr>
              <w:t>Căn cứ vào điều kiện thực tiễn và nguồn tài chính của đơn vị, cơ sở giáo dục đại học, cơ sở giáo dục nghề nghiệp có thể chi trả các chế độ, chính sách quy định tại Nghị định này ở mức cao hơn và được quy định trong quy chế chi tiêu nội bộ của đơn vị.”. Như vậy, cơ sở giáo dục có thể tăng mức với yêu cầu điều kiện như đề xuất.</w:t>
            </w:r>
          </w:p>
        </w:tc>
      </w:tr>
      <w:tr w:rsidR="00574F66" w:rsidRPr="00DA2335" w14:paraId="027A8134" w14:textId="77777777" w:rsidTr="00C41220">
        <w:trPr>
          <w:jc w:val="center"/>
        </w:trPr>
        <w:tc>
          <w:tcPr>
            <w:tcW w:w="1696" w:type="dxa"/>
          </w:tcPr>
          <w:p w14:paraId="11A9E3F9" w14:textId="09477146" w:rsidR="00574F66" w:rsidRPr="00DA2335" w:rsidRDefault="00574F66" w:rsidP="00DA2335">
            <w:pPr>
              <w:jc w:val="both"/>
              <w:rPr>
                <w:rFonts w:ascii="Times New Roman" w:eastAsia="Calibri" w:hAnsi="Times New Roman" w:cs="Times New Roman"/>
                <w:b/>
                <w:sz w:val="26"/>
                <w:szCs w:val="26"/>
              </w:rPr>
            </w:pPr>
            <w:r w:rsidRPr="00DA2335">
              <w:rPr>
                <w:rFonts w:ascii="Times New Roman" w:eastAsia="Calibri" w:hAnsi="Times New Roman" w:cs="Times New Roman"/>
                <w:b/>
                <w:sz w:val="26"/>
                <w:szCs w:val="26"/>
              </w:rPr>
              <w:t>Phụ cấp lưu động</w:t>
            </w:r>
          </w:p>
        </w:tc>
        <w:tc>
          <w:tcPr>
            <w:tcW w:w="1560" w:type="dxa"/>
          </w:tcPr>
          <w:p w14:paraId="3D9B8952" w14:textId="77777777" w:rsidR="00574F66" w:rsidRPr="00DA2335" w:rsidRDefault="00574F66" w:rsidP="00DA2335">
            <w:pPr>
              <w:jc w:val="both"/>
              <w:rPr>
                <w:rFonts w:ascii="Times New Roman" w:hAnsi="Times New Roman" w:cs="Times New Roman"/>
                <w:spacing w:val="-6"/>
                <w:sz w:val="26"/>
                <w:szCs w:val="26"/>
                <w:lang w:val="pt-BR"/>
              </w:rPr>
            </w:pPr>
          </w:p>
        </w:tc>
        <w:tc>
          <w:tcPr>
            <w:tcW w:w="6095" w:type="dxa"/>
          </w:tcPr>
          <w:p w14:paraId="238DDCD3" w14:textId="7777777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Trong thực tế, các trường đại học thường có nhiều cơ sở và đôi khi khoảng cách giữa các cơ sở này là tương đối xa (ví dụ: khoảng cách giữa cơ sở 1 và cơ sở 2 của Trường ĐHBK-HCM là hơn 25km). Vậy trường hợp các giảng viên đại học đi dạy xa giữa các cơ sở trong trường hợp này có được hưởng phụ cấp lưu động hay không?</w:t>
            </w:r>
          </w:p>
          <w:p w14:paraId="12EFDBAB" w14:textId="38617AFA"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Đề xuất cơ quan soạn thảo có quy định hướng dẫn cụ thể hơn đối với trường hợp nhà giáo là giảng viên của trường đại học có nhiều cơ sở và các cơ sở này cách xa nhau thì có được hưởng phụ cấp lưu động hay không? Nếu có thì đề xuất nên có quy định cụ thể về độ dài quãng đường đi/ khoảng cách di chuyển trong trường hợp này.</w:t>
            </w:r>
          </w:p>
        </w:tc>
        <w:tc>
          <w:tcPr>
            <w:tcW w:w="5528" w:type="dxa"/>
          </w:tcPr>
          <w:p w14:paraId="1E7F26CD"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16CAF089" w14:textId="4A8E065C"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 xml:space="preserve">Dự thảo Nghị định chỉ dự kiến bổ sung đối tượng hưởng phụ cấp lưu động, việc hướng dẫn thực hiện chế độ phụ cấp lưu động hiện thuộc thẩm quyền của Bộ Nội vụ và đang thực hiện theo Thông tư số 06/2005/TT-BNV. </w:t>
            </w:r>
          </w:p>
        </w:tc>
      </w:tr>
      <w:tr w:rsidR="00574F66" w:rsidRPr="00DA2335" w14:paraId="67E84618" w14:textId="77777777" w:rsidTr="00C41220">
        <w:trPr>
          <w:jc w:val="center"/>
        </w:trPr>
        <w:tc>
          <w:tcPr>
            <w:tcW w:w="1696" w:type="dxa"/>
          </w:tcPr>
          <w:p w14:paraId="0520B72B" w14:textId="78D95A02" w:rsidR="00574F66" w:rsidRPr="00DA2335" w:rsidRDefault="00574F66" w:rsidP="00DA2335">
            <w:pPr>
              <w:jc w:val="both"/>
              <w:rPr>
                <w:rFonts w:ascii="Times New Roman" w:eastAsia="Calibri" w:hAnsi="Times New Roman" w:cs="Times New Roman"/>
                <w:b/>
                <w:sz w:val="26"/>
                <w:szCs w:val="26"/>
              </w:rPr>
            </w:pPr>
            <w:r w:rsidRPr="00DA2335">
              <w:rPr>
                <w:rFonts w:ascii="Times New Roman" w:hAnsi="Times New Roman" w:cs="Times New Roman"/>
                <w:sz w:val="26"/>
                <w:szCs w:val="26"/>
                <w:lang w:val="nl-NL"/>
              </w:rPr>
              <w:t>Phụ cấp nặng nhọc, độc hại, nguy hiểm</w:t>
            </w:r>
          </w:p>
        </w:tc>
        <w:tc>
          <w:tcPr>
            <w:tcW w:w="1560" w:type="dxa"/>
          </w:tcPr>
          <w:p w14:paraId="531F9AED" w14:textId="4CAC34B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Cao đẳng kỹ nghệ Dung Quất</w:t>
            </w:r>
          </w:p>
        </w:tc>
        <w:tc>
          <w:tcPr>
            <w:tcW w:w="6095" w:type="dxa"/>
          </w:tcPr>
          <w:p w14:paraId="7E8759AD" w14:textId="08C34D6B"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lang w:val="nl-NL"/>
              </w:rPr>
              <w:t>Để làm cơ sở xác định ngành nghề đối tượng hưởng phụ cấp nặng nhọc, độc hại, nguy hiểm cần Quy định về dẫn chứng văn bản  danh mục ngành nghề đào tạo nặng nhọc, độc hại, nguy hiểm cụ thể</w:t>
            </w:r>
          </w:p>
        </w:tc>
        <w:tc>
          <w:tcPr>
            <w:tcW w:w="5528" w:type="dxa"/>
          </w:tcPr>
          <w:p w14:paraId="0DD47A04"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0B2F5934"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Điều 9 dự thảo Nghị định quy định các đối tượng hưởng, mức hưởng theo đúng quy định hiện hành (Nghị định 113/2015/NĐ-CP ngày 9/11/2015 của Chính phủ quy định phụ cấp đặc thù, phụ cấp ưu đãi, phụ cấp trách nhiệm công việc và phụ cấp nặng nhọc, độc hại, nguy hiểm đối với nhà giáo trong các cơ sở giáo dục nghề nghiệp công lập). Đồng thời dự thảo Nghị định bãi bỏ quy định đối với Nghị định 113/2015/NĐ-CP.</w:t>
            </w:r>
          </w:p>
          <w:p w14:paraId="29882B0C" w14:textId="61C53205"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Các trường hợp hưởng phụ cấp nặng nhọc, độc hại, nguy hiểm khác thực hiện theo Thông tư số 07/2005/TT-BNV. Danh mục các ngành, nghề nặng nhọc, độc hại, nguy hiểm thực hiện theo quy định tại Thông tư số 05/2023/TT-BLĐTBXH.</w:t>
            </w:r>
          </w:p>
        </w:tc>
      </w:tr>
      <w:tr w:rsidR="00574F66" w:rsidRPr="00DA2335" w14:paraId="01ADF507" w14:textId="77777777" w:rsidTr="00C41220">
        <w:trPr>
          <w:jc w:val="center"/>
        </w:trPr>
        <w:tc>
          <w:tcPr>
            <w:tcW w:w="1696" w:type="dxa"/>
          </w:tcPr>
          <w:p w14:paraId="6B21EB15" w14:textId="77777777" w:rsidR="00574F66" w:rsidRPr="00DA2335" w:rsidRDefault="00574F66" w:rsidP="00DA2335">
            <w:pPr>
              <w:jc w:val="both"/>
              <w:rPr>
                <w:rFonts w:ascii="Times New Roman" w:hAnsi="Times New Roman" w:cs="Times New Roman"/>
                <w:sz w:val="26"/>
                <w:szCs w:val="26"/>
                <w:lang w:val="nl-NL"/>
              </w:rPr>
            </w:pPr>
          </w:p>
        </w:tc>
        <w:tc>
          <w:tcPr>
            <w:tcW w:w="1560" w:type="dxa"/>
          </w:tcPr>
          <w:p w14:paraId="0F447EB1" w14:textId="3E574B6A"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tc>
        <w:tc>
          <w:tcPr>
            <w:tcW w:w="6095" w:type="dxa"/>
          </w:tcPr>
          <w:p w14:paraId="7C933FB7" w14:textId="7777777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Hiện nay bên cạnh cơ sở giáo dục nghề nghiệp thì giảng viên tại các cơ sở giáo dục đại học (đặc biệt là các trường đào tạo về kỹ thuật) cũng đồng thời có hoạt động giảng dạy thực hành tại các xưởng thực hành, phòng thí nghiệm và cũng có khả năng tiếp xúc với các yếu tố nặng nhọc, độc hại, nguy hiểm.</w:t>
            </w:r>
          </w:p>
          <w:p w14:paraId="51BCFBBB" w14:textId="38004AAA" w:rsidR="00574F66" w:rsidRPr="00DA2335" w:rsidRDefault="00574F6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rPr>
              <w:t>Đề xuất cơ quan soạn thảo xem xét bổ sung thêm nhóm đối tượng áp dụng là nhà giáo dạy thực hành tại các cơ sở giáo dục đại học có tiếp xúc với các yếu tố nặng nhọc, độc hại, nguy hiểm.</w:t>
            </w:r>
          </w:p>
        </w:tc>
        <w:tc>
          <w:tcPr>
            <w:tcW w:w="5528" w:type="dxa"/>
          </w:tcPr>
          <w:p w14:paraId="7B9F0DC1"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1FDF9150" w14:textId="32CE1103"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Việc xác định mức độ nặng nhọc, độc hại, nguy hiểm phải thông qua nghiên cứu, đánh giá và được xác định bởi cơ quan có thẩm quyền. Nếu hoạt động giảng dạy, thực hành của giảng viên nằm trong danh mục các ngành, nghề nặng nhọc, độc hại, nguy hiểm thì thuộc đối tượng được hưởng phụ cấp này.</w:t>
            </w:r>
          </w:p>
          <w:p w14:paraId="5A120DF2" w14:textId="54530733"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Phụ cấp nặng nhọc, độc hại, nguy hiểm khác thực hiện theo Thông tư số 07/2005/TT-BNV. Danh mục các ngành, nghề nặng nhọc, độc hại, nguy hiểm thực hiện theo quy định tại Thông tư số 05/2023/TT-BLĐTBXH.</w:t>
            </w:r>
          </w:p>
        </w:tc>
      </w:tr>
      <w:tr w:rsidR="00574F66" w:rsidRPr="00DA2335" w14:paraId="510B858E" w14:textId="77777777" w:rsidTr="00C41220">
        <w:trPr>
          <w:jc w:val="center"/>
        </w:trPr>
        <w:tc>
          <w:tcPr>
            <w:tcW w:w="1696" w:type="dxa"/>
          </w:tcPr>
          <w:p w14:paraId="76041046" w14:textId="1653D1AD" w:rsidR="00574F66" w:rsidRPr="00DA2335" w:rsidRDefault="00574F6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lang w:val="nl-NL"/>
              </w:rPr>
              <w:t>Điều khoản áp dụng</w:t>
            </w:r>
          </w:p>
        </w:tc>
        <w:tc>
          <w:tcPr>
            <w:tcW w:w="1560" w:type="dxa"/>
          </w:tcPr>
          <w:p w14:paraId="14F14877" w14:textId="142E519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Cần Thơ</w:t>
            </w:r>
          </w:p>
        </w:tc>
        <w:tc>
          <w:tcPr>
            <w:tcW w:w="6095" w:type="dxa"/>
          </w:tcPr>
          <w:p w14:paraId="0775BA9A" w14:textId="0801C35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Bổ sung phụ cấp trách nhiệm 0,3 đối với viên chức hành hỗ trợ phục vụ trong các đơn vị sự nghiệp</w:t>
            </w:r>
          </w:p>
        </w:tc>
        <w:tc>
          <w:tcPr>
            <w:tcW w:w="5528" w:type="dxa"/>
          </w:tcPr>
          <w:p w14:paraId="62EFA4C8"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4A84505B" w14:textId="1C85700A"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 xml:space="preserve">Phụ cấp trách nhiệm công việc </w:t>
            </w:r>
            <w:r w:rsidRPr="00DA2335">
              <w:rPr>
                <w:rFonts w:ascii="Times New Roman" w:hAnsi="Times New Roman" w:cs="Times New Roman"/>
                <w:spacing w:val="-6"/>
                <w:sz w:val="26"/>
                <w:szCs w:val="26"/>
              </w:rPr>
              <w:t>là khoản tiền bổ sung nhằm bù đắp cho</w:t>
            </w:r>
            <w:bookmarkStart w:id="1" w:name="_GoBack"/>
            <w:bookmarkEnd w:id="1"/>
            <w:r w:rsidRPr="00DA2335">
              <w:rPr>
                <w:rFonts w:ascii="Times New Roman" w:hAnsi="Times New Roman" w:cs="Times New Roman"/>
                <w:spacing w:val="-6"/>
                <w:sz w:val="26"/>
                <w:szCs w:val="26"/>
              </w:rPr>
              <w:t xml:space="preserve"> những trách nhiệm, nhiệm vụ hoặc công việc đặc thù mà người lao động đảm nhiệm. Do đó, phụ cấp này không phải là chế độ có thể chi trả cho tất cả các đối tượng.</w:t>
            </w:r>
          </w:p>
        </w:tc>
      </w:tr>
      <w:tr w:rsidR="00574F66" w:rsidRPr="00DA2335" w14:paraId="3981A71D" w14:textId="77777777" w:rsidTr="00C41220">
        <w:trPr>
          <w:jc w:val="center"/>
        </w:trPr>
        <w:tc>
          <w:tcPr>
            <w:tcW w:w="1696" w:type="dxa"/>
          </w:tcPr>
          <w:p w14:paraId="2B3B903F" w14:textId="77777777" w:rsidR="00574F66" w:rsidRPr="00DA2335" w:rsidRDefault="00574F66" w:rsidP="00DA2335">
            <w:pPr>
              <w:jc w:val="both"/>
              <w:rPr>
                <w:rFonts w:ascii="Times New Roman" w:hAnsi="Times New Roman" w:cs="Times New Roman"/>
                <w:sz w:val="26"/>
                <w:szCs w:val="26"/>
                <w:lang w:val="nl-NL"/>
              </w:rPr>
            </w:pPr>
          </w:p>
        </w:tc>
        <w:tc>
          <w:tcPr>
            <w:tcW w:w="1560" w:type="dxa"/>
          </w:tcPr>
          <w:p w14:paraId="27199CE7" w14:textId="2D795055"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 KT Bình Dương</w:t>
            </w:r>
          </w:p>
        </w:tc>
        <w:tc>
          <w:tcPr>
            <w:tcW w:w="6095" w:type="dxa"/>
            <w:vAlign w:val="center"/>
          </w:tcPr>
          <w:p w14:paraId="1FC88A42" w14:textId="77777777"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Xung đột pháp lý về bãi bỏ Thông tư: khoản 4 Điều 10 quy định Tổ trưởng, Tổ phó không được hưởng phụ cấp chức vụ lãnh đạo nhằm tránh việc chi trả đồng thời chế độ khi Thông tư 33/2005/TT-BGD&amp;ĐT vẫn còn hiệu lực (Thông tư này có quy định phụ cấp chức vụ lãnh đạo cho Tổ trưởng, Tổ phó).</w:t>
            </w:r>
          </w:p>
          <w:p w14:paraId="1CA4FF7F" w14:textId="6B6CCA9C"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Bãi bỏ/Thay thế rõ ràng: Cần đưa việc Bãi bỏ hoặc Thay thế quy định của Thông tư số 33/2005/TT-BGD&amp;ĐT (liên quan đến phụ cấp chức vụ lãnh đạo đối với Tổ trưởng, Tổ phó) vào Điều 11. Hiệu lực thi hành của Nghị định này để đảm bảo tính thống nhất và tránh xung đột pháp lý về hiệu lực của văn bản.</w:t>
            </w:r>
          </w:p>
        </w:tc>
        <w:tc>
          <w:tcPr>
            <w:tcW w:w="5528" w:type="dxa"/>
          </w:tcPr>
          <w:p w14:paraId="161DC20E" w14:textId="179C137E" w:rsidR="00574F66" w:rsidRPr="00DA2335" w:rsidRDefault="004B5BF7" w:rsidP="00DA2335">
            <w:pPr>
              <w:tabs>
                <w:tab w:val="left" w:leader="dot" w:pos="9072"/>
                <w:tab w:val="center" w:leader="dot" w:pos="14572"/>
              </w:tabs>
              <w:jc w:val="both"/>
              <w:rPr>
                <w:rFonts w:ascii="Times New Roman" w:hAnsi="Times New Roman" w:cs="Times New Roman"/>
                <w:spacing w:val="-6"/>
                <w:sz w:val="26"/>
                <w:szCs w:val="26"/>
                <w:lang w:val="pt-BR"/>
              </w:rPr>
            </w:pPr>
            <w:r>
              <w:rPr>
                <w:rFonts w:ascii="Times New Roman" w:hAnsi="Times New Roman" w:cs="Times New Roman"/>
                <w:spacing w:val="-6"/>
                <w:sz w:val="26"/>
                <w:szCs w:val="26"/>
                <w:lang w:val="pt-BR"/>
              </w:rPr>
              <w:t>Tiếp thu</w:t>
            </w:r>
          </w:p>
          <w:p w14:paraId="00EA59BF" w14:textId="1C655DD3" w:rsidR="00574F66" w:rsidRPr="00DA2335" w:rsidRDefault="004B5BF7" w:rsidP="00DA2335">
            <w:pPr>
              <w:tabs>
                <w:tab w:val="left" w:leader="dot" w:pos="9072"/>
                <w:tab w:val="center" w:leader="dot" w:pos="14572"/>
              </w:tabs>
              <w:jc w:val="both"/>
              <w:rPr>
                <w:rFonts w:ascii="Times New Roman" w:hAnsi="Times New Roman" w:cs="Times New Roman"/>
                <w:spacing w:val="-6"/>
                <w:sz w:val="26"/>
                <w:szCs w:val="26"/>
                <w:lang w:val="pt-BR"/>
              </w:rPr>
            </w:pPr>
            <w:r>
              <w:rPr>
                <w:rFonts w:ascii="Times New Roman" w:hAnsi="Times New Roman" w:cs="Times New Roman"/>
                <w:spacing w:val="-6"/>
                <w:sz w:val="26"/>
                <w:szCs w:val="26"/>
                <w:lang w:val="pt-BR"/>
              </w:rPr>
              <w:t xml:space="preserve">Trước mắt, dự thảo Nghị định không đề cập đến phụ cấp trách nhiệm công việc đối với tổ trưởng, tổ phó chuyên môn. Sau khi Bộ GDĐT điều chỉnh quy định về danh mục VTVL và phụ cấp chức vụ lãnh đạo thì sẽ có quy định cụ thể. </w:t>
            </w:r>
          </w:p>
        </w:tc>
      </w:tr>
      <w:tr w:rsidR="00A50528" w:rsidRPr="00DA2335" w14:paraId="69D508DE" w14:textId="77777777" w:rsidTr="00C41220">
        <w:trPr>
          <w:jc w:val="center"/>
        </w:trPr>
        <w:tc>
          <w:tcPr>
            <w:tcW w:w="1696" w:type="dxa"/>
          </w:tcPr>
          <w:p w14:paraId="2B3405D7" w14:textId="77777777" w:rsidR="00A50528" w:rsidRPr="00DA2335" w:rsidRDefault="00A50528" w:rsidP="00DA2335">
            <w:pPr>
              <w:jc w:val="both"/>
              <w:rPr>
                <w:rFonts w:ascii="Times New Roman" w:hAnsi="Times New Roman" w:cs="Times New Roman"/>
                <w:sz w:val="26"/>
                <w:szCs w:val="26"/>
                <w:lang w:val="nl-NL"/>
              </w:rPr>
            </w:pPr>
          </w:p>
        </w:tc>
        <w:tc>
          <w:tcPr>
            <w:tcW w:w="1560" w:type="dxa"/>
          </w:tcPr>
          <w:p w14:paraId="05D0D696" w14:textId="26FEF2EB" w:rsidR="00A50528" w:rsidRPr="00DA2335" w:rsidRDefault="00A50528"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Kinh tế Quốc dân</w:t>
            </w:r>
          </w:p>
        </w:tc>
        <w:tc>
          <w:tcPr>
            <w:tcW w:w="6095" w:type="dxa"/>
            <w:vAlign w:val="center"/>
          </w:tcPr>
          <w:p w14:paraId="37C4E4ED" w14:textId="04466AF7" w:rsidR="00A50528" w:rsidRPr="00DA2335" w:rsidRDefault="00A50528" w:rsidP="00DA2335">
            <w:pPr>
              <w:jc w:val="both"/>
              <w:rPr>
                <w:rFonts w:ascii="Times New Roman" w:hAnsi="Times New Roman" w:cs="Times New Roman"/>
                <w:sz w:val="26"/>
                <w:szCs w:val="26"/>
              </w:rPr>
            </w:pPr>
            <w:r w:rsidRPr="00DA2335">
              <w:rPr>
                <w:rFonts w:ascii="Times New Roman" w:hAnsi="Times New Roman" w:cs="Times New Roman"/>
                <w:bCs/>
                <w:color w:val="000000"/>
                <w:sz w:val="26"/>
                <w:szCs w:val="26"/>
              </w:rPr>
              <w:t xml:space="preserve">Điều 11, khoản 3: </w:t>
            </w:r>
            <w:r w:rsidRPr="00DA2335">
              <w:rPr>
                <w:rFonts w:ascii="Times New Roman" w:hAnsi="Times New Roman" w:cs="Times New Roman"/>
                <w:color w:val="000000"/>
                <w:sz w:val="26"/>
                <w:szCs w:val="26"/>
              </w:rPr>
              <w:t>Quy định này tạo tính linh hoạt tốt cho các trường tự chủ. Tuy nhiên, cần làm rõ </w:t>
            </w:r>
            <w:r w:rsidRPr="00DA2335">
              <w:rPr>
                <w:rFonts w:ascii="Times New Roman" w:hAnsi="Times New Roman" w:cs="Times New Roman"/>
                <w:bCs/>
                <w:color w:val="000000"/>
                <w:sz w:val="26"/>
                <w:szCs w:val="26"/>
              </w:rPr>
              <w:t>nguồn kinh phí</w:t>
            </w:r>
            <w:r w:rsidRPr="00DA2335">
              <w:rPr>
                <w:rFonts w:ascii="Times New Roman" w:hAnsi="Times New Roman" w:cs="Times New Roman"/>
                <w:color w:val="000000"/>
                <w:sz w:val="26"/>
                <w:szCs w:val="26"/>
              </w:rPr>
              <w:t xml:space="preserve"> được phép sử dụng và giới hạn mức chi để tránh bất bình đẳng. Đề nghị bổ sung: "Chi trả ở mức cao hơn </w:t>
            </w:r>
            <w:bookmarkStart w:id="2" w:name="_Hlk216857676"/>
            <w:r w:rsidRPr="00DA2335">
              <w:rPr>
                <w:rFonts w:ascii="Times New Roman" w:hAnsi="Times New Roman" w:cs="Times New Roman"/>
                <w:color w:val="000000"/>
                <w:sz w:val="26"/>
                <w:szCs w:val="26"/>
              </w:rPr>
              <w:t>từ nguồn thu hợp pháp của cơ sở giáo dục, phù hợp với quy chế chi tiêu nội bộ đã được cơ quan có thẩm quyền phê duyệt và không vượt quá khung quy định về thu nhập tăng thêm</w:t>
            </w:r>
            <w:bookmarkEnd w:id="2"/>
            <w:r w:rsidRPr="00DA2335">
              <w:rPr>
                <w:rFonts w:ascii="Times New Roman" w:hAnsi="Times New Roman" w:cs="Times New Roman"/>
                <w:color w:val="000000"/>
                <w:sz w:val="26"/>
                <w:szCs w:val="26"/>
              </w:rPr>
              <w:t>.</w:t>
            </w:r>
          </w:p>
        </w:tc>
        <w:tc>
          <w:tcPr>
            <w:tcW w:w="5528" w:type="dxa"/>
          </w:tcPr>
          <w:p w14:paraId="178F26ED" w14:textId="665F4B20" w:rsidR="00A50528" w:rsidRPr="00DA2335" w:rsidRDefault="00A50528"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w:t>
            </w:r>
          </w:p>
        </w:tc>
      </w:tr>
      <w:tr w:rsidR="00574F66" w:rsidRPr="00DA2335" w14:paraId="27481EAC" w14:textId="77777777" w:rsidTr="00C41220">
        <w:trPr>
          <w:jc w:val="center"/>
        </w:trPr>
        <w:tc>
          <w:tcPr>
            <w:tcW w:w="1696" w:type="dxa"/>
          </w:tcPr>
          <w:p w14:paraId="69422A31" w14:textId="5E07EE6F" w:rsidR="00574F66" w:rsidRPr="00DA2335" w:rsidRDefault="00574F6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lang w:val="nl-NL"/>
              </w:rPr>
              <w:t>Cơ chế khuyến khích nhà giáo</w:t>
            </w:r>
          </w:p>
        </w:tc>
        <w:tc>
          <w:tcPr>
            <w:tcW w:w="1560" w:type="dxa"/>
          </w:tcPr>
          <w:p w14:paraId="2A5985B3" w14:textId="7979A04F"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Trung cấp nghề cơ khí xây dựng</w:t>
            </w:r>
          </w:p>
        </w:tc>
        <w:tc>
          <w:tcPr>
            <w:tcW w:w="6095" w:type="dxa"/>
          </w:tcPr>
          <w:p w14:paraId="476AED15" w14:textId="3AF54018"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Chưa có cơ chế khuyến khích nhà giáo giỏi hoặc đổi mới sáng tại: Chính sách tập trung vào hệ số, phụ cấp theo đực thù công tác mà chưa gắn với kết quả đánh giá, hiệu quả giảng dạy hoặc nghiên cứu khoa học</w:t>
            </w:r>
          </w:p>
        </w:tc>
        <w:tc>
          <w:tcPr>
            <w:tcW w:w="5528" w:type="dxa"/>
          </w:tcPr>
          <w:p w14:paraId="4697BE88"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Đề nghị bảo lưu</w:t>
            </w:r>
          </w:p>
          <w:p w14:paraId="668F3431" w14:textId="77777777"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Chính sách thu hút, trọng dụng nhà giáo được quy định tại Nghị định quy định chi tiết một số điều của Luật Nhà giáo, không thuộc phạm vi quy định tại Nghị định này.</w:t>
            </w:r>
          </w:p>
          <w:p w14:paraId="6C161C49" w14:textId="6AD65E13"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Đồng thời, để thực sự cải cách tiền lương, bảo đảm trả lương theo đúng vị trí việc làm, hiệu suất lao động thì phải đợi Chính phủ ban hành chính sách tiền lương mới. Hiện vẫn đang thực hiện quy định của Chính phủ tại Nghị định số 204/2004/NĐ-CP.</w:t>
            </w:r>
          </w:p>
        </w:tc>
      </w:tr>
      <w:tr w:rsidR="00574F66" w:rsidRPr="00DA2335" w14:paraId="2E72637B" w14:textId="77777777" w:rsidTr="00C41220">
        <w:trPr>
          <w:jc w:val="center"/>
        </w:trPr>
        <w:tc>
          <w:tcPr>
            <w:tcW w:w="1696" w:type="dxa"/>
          </w:tcPr>
          <w:p w14:paraId="53CAA27A" w14:textId="6785E243" w:rsidR="00574F66" w:rsidRPr="00DA2335" w:rsidRDefault="00574F66" w:rsidP="00DA2335">
            <w:pPr>
              <w:jc w:val="both"/>
              <w:rPr>
                <w:rFonts w:ascii="Times New Roman" w:hAnsi="Times New Roman" w:cs="Times New Roman"/>
                <w:sz w:val="26"/>
                <w:szCs w:val="26"/>
                <w:lang w:val="nl-NL"/>
              </w:rPr>
            </w:pPr>
            <w:r w:rsidRPr="00DA2335">
              <w:rPr>
                <w:rFonts w:ascii="Times New Roman" w:hAnsi="Times New Roman" w:cs="Times New Roman"/>
                <w:sz w:val="26"/>
                <w:szCs w:val="26"/>
                <w:lang w:val="nl-NL"/>
              </w:rPr>
              <w:t>Điều khoản thi hành</w:t>
            </w:r>
          </w:p>
        </w:tc>
        <w:tc>
          <w:tcPr>
            <w:tcW w:w="1560" w:type="dxa"/>
          </w:tcPr>
          <w:p w14:paraId="1D2970AA" w14:textId="77777777" w:rsidR="00574F66" w:rsidRPr="00DA2335" w:rsidRDefault="00574F66"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Đại học Bách khoa HCM</w:t>
            </w:r>
          </w:p>
          <w:p w14:paraId="1FC80920" w14:textId="48652909" w:rsidR="00EF385A" w:rsidRPr="00DA2335" w:rsidRDefault="00EF385A" w:rsidP="00DA2335">
            <w:pPr>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ĐH Mở Hà Nội</w:t>
            </w:r>
          </w:p>
        </w:tc>
        <w:tc>
          <w:tcPr>
            <w:tcW w:w="6095" w:type="dxa"/>
          </w:tcPr>
          <w:p w14:paraId="5812CC31" w14:textId="18291AAF" w:rsidR="00574F66" w:rsidRPr="00DA2335" w:rsidRDefault="00574F66" w:rsidP="00DA2335">
            <w:pPr>
              <w:jc w:val="both"/>
              <w:rPr>
                <w:rFonts w:ascii="Times New Roman" w:hAnsi="Times New Roman" w:cs="Times New Roman"/>
                <w:sz w:val="26"/>
                <w:szCs w:val="26"/>
              </w:rPr>
            </w:pPr>
            <w:r w:rsidRPr="00DA2335">
              <w:rPr>
                <w:rFonts w:ascii="Times New Roman" w:hAnsi="Times New Roman" w:cs="Times New Roman"/>
                <w:sz w:val="26"/>
                <w:szCs w:val="26"/>
              </w:rPr>
              <w:t xml:space="preserve">Đối tượng áp dụng của Nghị định này là: “Nhà giáo được tuyển dụng làm nhiệm vụ giảng dạy, giáo dục trong các cơ sở giáo dục công lập </w:t>
            </w:r>
            <w:bookmarkStart w:id="3" w:name="_Hlk186989755"/>
            <w:r w:rsidRPr="00DA2335">
              <w:rPr>
                <w:rFonts w:ascii="Times New Roman" w:hAnsi="Times New Roman" w:cs="Times New Roman"/>
                <w:sz w:val="26"/>
                <w:szCs w:val="26"/>
              </w:rPr>
              <w:t>thuộc hệ thống giáo dục quốc dân</w:t>
            </w:r>
            <w:bookmarkEnd w:id="3"/>
            <w:r w:rsidRPr="00DA2335">
              <w:rPr>
                <w:rFonts w:ascii="Times New Roman" w:hAnsi="Times New Roman" w:cs="Times New Roman"/>
                <w:sz w:val="26"/>
                <w:szCs w:val="26"/>
              </w:rPr>
              <w:t>”, tuy nhiên tại phần trách nhiệm thi hành lại chỉ quy định đối tượng là “đơn vị sử dụng giáo viên” là chưa bao quát đầy đủ các nhóm đối tượng là nhà giáo theo quy định pháp luật (thiếu nhóm giảng viên). Do đó đề xuất điều chỉnh lại nội dung này cho phù hợp. Đề xuất cơ quan soạn thảo xem xét điều chỉnh cụm từ “đơn vị sử dụng giáo viên” thành “đơn vị quản lý, sử dụng nhà giáo”.</w:t>
            </w:r>
          </w:p>
        </w:tc>
        <w:tc>
          <w:tcPr>
            <w:tcW w:w="5528" w:type="dxa"/>
          </w:tcPr>
          <w:p w14:paraId="64305D26" w14:textId="0C815C5B" w:rsidR="00574F66" w:rsidRPr="00DA2335" w:rsidRDefault="00574F66" w:rsidP="00DA2335">
            <w:pPr>
              <w:tabs>
                <w:tab w:val="left" w:leader="dot" w:pos="9072"/>
                <w:tab w:val="center" w:leader="dot" w:pos="14572"/>
              </w:tabs>
              <w:jc w:val="both"/>
              <w:rPr>
                <w:rFonts w:ascii="Times New Roman" w:hAnsi="Times New Roman" w:cs="Times New Roman"/>
                <w:spacing w:val="-6"/>
                <w:sz w:val="26"/>
                <w:szCs w:val="26"/>
                <w:lang w:val="pt-BR"/>
              </w:rPr>
            </w:pPr>
            <w:r w:rsidRPr="00DA2335">
              <w:rPr>
                <w:rFonts w:ascii="Times New Roman" w:hAnsi="Times New Roman" w:cs="Times New Roman"/>
                <w:spacing w:val="-6"/>
                <w:sz w:val="26"/>
                <w:szCs w:val="26"/>
                <w:lang w:val="pt-BR"/>
              </w:rPr>
              <w:t>Tiếp thu và đã điều chỉnh</w:t>
            </w:r>
          </w:p>
        </w:tc>
      </w:tr>
    </w:tbl>
    <w:p w14:paraId="5771EADD" w14:textId="222689BF" w:rsidR="00385B2F" w:rsidRPr="00DA2335" w:rsidRDefault="00EF385A" w:rsidP="00DA2335">
      <w:pPr>
        <w:spacing w:after="120" w:line="240" w:lineRule="auto"/>
        <w:ind w:firstLine="709"/>
        <w:jc w:val="both"/>
        <w:rPr>
          <w:rFonts w:ascii="Times New Roman" w:hAnsi="Times New Roman" w:cs="Times New Roman"/>
          <w:b/>
          <w:bCs/>
          <w:sz w:val="28"/>
          <w:szCs w:val="28"/>
        </w:rPr>
      </w:pPr>
      <w:r w:rsidRPr="00DA2335">
        <w:rPr>
          <w:rFonts w:ascii="Times New Roman" w:hAnsi="Times New Roman" w:cs="Times New Roman"/>
          <w:b/>
          <w:bCs/>
          <w:sz w:val="28"/>
          <w:szCs w:val="28"/>
        </w:rPr>
        <w:t>4</w:t>
      </w:r>
      <w:r w:rsidR="00436437" w:rsidRPr="00DA2335">
        <w:rPr>
          <w:rFonts w:ascii="Times New Roman" w:hAnsi="Times New Roman" w:cs="Times New Roman"/>
          <w:b/>
          <w:bCs/>
          <w:sz w:val="28"/>
          <w:szCs w:val="28"/>
        </w:rPr>
        <w:t>. Đánh giá tác động</w:t>
      </w:r>
    </w:p>
    <w:p w14:paraId="5D0CBA10" w14:textId="196F40AC" w:rsidR="00436437" w:rsidRPr="00DA2335" w:rsidRDefault="00EF385A" w:rsidP="00DA2335">
      <w:pPr>
        <w:spacing w:after="120" w:line="240" w:lineRule="auto"/>
        <w:ind w:firstLine="709"/>
        <w:jc w:val="both"/>
        <w:rPr>
          <w:rFonts w:ascii="Times New Roman" w:hAnsi="Times New Roman" w:cs="Times New Roman"/>
          <w:b/>
          <w:bCs/>
          <w:i/>
          <w:iCs/>
          <w:sz w:val="28"/>
          <w:szCs w:val="28"/>
        </w:rPr>
      </w:pPr>
      <w:r w:rsidRPr="00DA2335">
        <w:rPr>
          <w:rFonts w:ascii="Times New Roman" w:hAnsi="Times New Roman" w:cs="Times New Roman"/>
          <w:b/>
          <w:bCs/>
          <w:i/>
          <w:iCs/>
          <w:sz w:val="28"/>
          <w:szCs w:val="28"/>
        </w:rPr>
        <w:t>4</w:t>
      </w:r>
      <w:r w:rsidR="00436437" w:rsidRPr="00DA2335">
        <w:rPr>
          <w:rFonts w:ascii="Times New Roman" w:hAnsi="Times New Roman" w:cs="Times New Roman"/>
          <w:b/>
          <w:bCs/>
          <w:i/>
          <w:iCs/>
          <w:sz w:val="28"/>
          <w:szCs w:val="28"/>
        </w:rPr>
        <w:t>.1. Tác động tích cực</w:t>
      </w:r>
    </w:p>
    <w:p w14:paraId="322C9499" w14:textId="7DD9C335" w:rsidR="00DA2335" w:rsidRPr="00DA2335" w:rsidRDefault="00665CC6"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xml:space="preserve">Quy định chính sách tiền lương và chế độ phụ cấp đối với nhà giáo trong dự thảo Nghị định thể hiện sự quan tâm của Đảng và Nhà nước đối với đội ngũ nhà giáo. Chính sách này giúp nâng cao thu nhập của nhà giáo, từ đó tạo điều kiện thuận lợi để các nhà giáo yên tâm công tác, tiếp tục đóng góp tích cực vào sự nghiệp giáo dục. </w:t>
      </w:r>
      <w:r w:rsidR="00DA2335" w:rsidRPr="00DA2335">
        <w:rPr>
          <w:rFonts w:ascii="Times New Roman" w:hAnsi="Times New Roman" w:cs="Times New Roman"/>
          <w:sz w:val="28"/>
          <w:szCs w:val="28"/>
        </w:rPr>
        <w:t>Tăng khả năng thu hút, giữ chân nhân sự chất lượng, mức lương và phụ cấp rõ ràng giúp trường có thể thu hút giáo viên có năng lực và kinh nghiệm. Khuyến khích, động viên tinh thần làm việc, tạo động lực cho giáo viên gắn bó lâu dài với nghề, nhất là trong các lĩnh vực đặc thù (dạy nghề, thực hành).</w:t>
      </w:r>
    </w:p>
    <w:p w14:paraId="0573E180" w14:textId="5FEB2374" w:rsidR="00763529" w:rsidRPr="00DA2335" w:rsidRDefault="00763529"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Đối nhà giáo là Giáo sư được xếp lương chuyên gia cao cấp góp phần thúc đẩy động lực cho Phó Giáo sư làm Giáo sư, qua đó góp phần tăng số lượng Giáo sư trong cả nước</w:t>
      </w:r>
      <w:r w:rsidR="00DA2335" w:rsidRPr="00DA2335">
        <w:rPr>
          <w:rFonts w:ascii="Times New Roman" w:hAnsi="Times New Roman" w:cs="Times New Roman"/>
          <w:sz w:val="28"/>
          <w:szCs w:val="28"/>
        </w:rPr>
        <w:t>.</w:t>
      </w:r>
    </w:p>
    <w:p w14:paraId="2F881ED1" w14:textId="4627F1CB" w:rsidR="008110D1" w:rsidRPr="00DA2335" w:rsidRDefault="008110D1"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 xml:space="preserve">Việc quy định về hệ số lương đặc thù tại dự thảo Nghị định giúp tiến tới hiện thực hóa chính sách “Lương của nhà giáo được xếp cao nhất trong hệ thống thang bậc lương hành chính sự nghiệp” trong bối cảnh Chính phủ chưa quy định chính sách tiền lương mới, việc trả lương vẫn thực hiện theo quy định tại Nghị định số 204/2004/NĐ-CP. </w:t>
      </w:r>
    </w:p>
    <w:p w14:paraId="5CD4735F" w14:textId="3D8B9962" w:rsidR="00436437" w:rsidRPr="00DA2335" w:rsidRDefault="00806DFD"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Các phụ cấp được quy định rõ ràng, minh bạch, giúp ghi nhận đúng công sức, mức độ phức tạp và rủi ro nghề nghiệp.</w:t>
      </w:r>
    </w:p>
    <w:p w14:paraId="1C08FF1E" w14:textId="2A7F751D" w:rsidR="00806DFD" w:rsidRPr="00DA2335" w:rsidRDefault="00806DFD"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Việc tách biệt rõ lương, phụ cấp và cơ chế đặc thù của nhà giáo giúp khẳng định vị thế nghề nghiệp, tạo niềm tin xã hội với ngành giáo dục.</w:t>
      </w:r>
    </w:p>
    <w:p w14:paraId="7986F92C" w14:textId="76BCA0F0" w:rsidR="00806DFD" w:rsidRPr="00DA2335" w:rsidRDefault="00806DFD"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Đáp ứng mục tiêu của luật nhà giáo 2025, gắn kết chính sách tiền lương với việc công nhận nghề dạy học là nghề đặc thù, phù hợp với định hướng cải cách tiền lương quốc gia.</w:t>
      </w:r>
    </w:p>
    <w:p w14:paraId="26B111A7" w14:textId="6406F56D" w:rsidR="00436437" w:rsidRPr="00DA2335" w:rsidRDefault="00DA2335" w:rsidP="00DA2335">
      <w:pPr>
        <w:spacing w:after="120" w:line="240" w:lineRule="auto"/>
        <w:ind w:firstLine="709"/>
        <w:jc w:val="both"/>
        <w:rPr>
          <w:rFonts w:ascii="Times New Roman" w:hAnsi="Times New Roman" w:cs="Times New Roman"/>
          <w:b/>
          <w:bCs/>
          <w:i/>
          <w:iCs/>
          <w:sz w:val="28"/>
          <w:szCs w:val="28"/>
        </w:rPr>
      </w:pPr>
      <w:r w:rsidRPr="00DA2335">
        <w:rPr>
          <w:rFonts w:ascii="Times New Roman" w:hAnsi="Times New Roman" w:cs="Times New Roman"/>
          <w:b/>
          <w:bCs/>
          <w:i/>
          <w:iCs/>
          <w:sz w:val="28"/>
          <w:szCs w:val="28"/>
        </w:rPr>
        <w:t>4</w:t>
      </w:r>
      <w:r w:rsidR="00436437" w:rsidRPr="00DA2335">
        <w:rPr>
          <w:rFonts w:ascii="Times New Roman" w:hAnsi="Times New Roman" w:cs="Times New Roman"/>
          <w:b/>
          <w:bCs/>
          <w:i/>
          <w:iCs/>
          <w:sz w:val="28"/>
          <w:szCs w:val="28"/>
        </w:rPr>
        <w:t>.2. Tác động tiêu cực</w:t>
      </w:r>
    </w:p>
    <w:p w14:paraId="3F235A43" w14:textId="3ECDC8CD" w:rsidR="00DA2335" w:rsidRPr="00DA2335" w:rsidRDefault="00DA2335" w:rsidP="00DA2335">
      <w:pPr>
        <w:spacing w:after="120" w:line="240" w:lineRule="auto"/>
        <w:ind w:firstLine="709"/>
        <w:jc w:val="both"/>
        <w:rPr>
          <w:rFonts w:ascii="Times New Roman" w:hAnsi="Times New Roman" w:cs="Times New Roman"/>
          <w:sz w:val="28"/>
          <w:szCs w:val="28"/>
        </w:rPr>
      </w:pPr>
      <w:r w:rsidRPr="00DA2335">
        <w:rPr>
          <w:rFonts w:ascii="Times New Roman" w:hAnsi="Times New Roman" w:cs="Times New Roman"/>
          <w:sz w:val="28"/>
          <w:szCs w:val="28"/>
        </w:rPr>
        <w:t>Phát sinh chi phí chi trả từ nguồn tự chủ của đơn vị sự nghiệp.</w:t>
      </w:r>
    </w:p>
    <w:sectPr w:rsidR="00DA2335" w:rsidRPr="00DA2335" w:rsidSect="00642DF1">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70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AEBAB" w14:textId="77777777" w:rsidR="007C1347" w:rsidRDefault="007C1347" w:rsidP="003473D0">
      <w:pPr>
        <w:spacing w:after="0" w:line="240" w:lineRule="auto"/>
      </w:pPr>
      <w:r>
        <w:separator/>
      </w:r>
    </w:p>
  </w:endnote>
  <w:endnote w:type="continuationSeparator" w:id="0">
    <w:p w14:paraId="5F128B73" w14:textId="77777777" w:rsidR="007C1347" w:rsidRDefault="007C1347" w:rsidP="0034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9BE20" w14:textId="77777777" w:rsidR="004B5BF7" w:rsidRDefault="004B5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80205" w14:textId="77777777" w:rsidR="004B5BF7" w:rsidRDefault="004B5B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5742" w14:textId="77777777" w:rsidR="004B5BF7" w:rsidRDefault="004B5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848EB" w14:textId="77777777" w:rsidR="007C1347" w:rsidRDefault="007C1347" w:rsidP="003473D0">
      <w:pPr>
        <w:spacing w:after="0" w:line="240" w:lineRule="auto"/>
      </w:pPr>
      <w:r>
        <w:separator/>
      </w:r>
    </w:p>
  </w:footnote>
  <w:footnote w:type="continuationSeparator" w:id="0">
    <w:p w14:paraId="50134736" w14:textId="77777777" w:rsidR="007C1347" w:rsidRDefault="007C1347" w:rsidP="00347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42DD" w14:textId="77777777" w:rsidR="004B5BF7" w:rsidRDefault="004B5B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8F43B" w14:textId="77777777" w:rsidR="004B5BF7" w:rsidRDefault="004B5B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6F315" w14:textId="77777777" w:rsidR="004B5BF7" w:rsidRDefault="004B5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C41"/>
    <w:multiLevelType w:val="hybridMultilevel"/>
    <w:tmpl w:val="B296A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A04BE"/>
    <w:multiLevelType w:val="hybridMultilevel"/>
    <w:tmpl w:val="6D6C63AA"/>
    <w:lvl w:ilvl="0" w:tplc="87703AF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2EC4E95"/>
    <w:multiLevelType w:val="hybridMultilevel"/>
    <w:tmpl w:val="574C7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63573"/>
    <w:multiLevelType w:val="multilevel"/>
    <w:tmpl w:val="9782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515FBD"/>
    <w:multiLevelType w:val="multilevel"/>
    <w:tmpl w:val="BB22BBA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688803CB"/>
    <w:multiLevelType w:val="hybridMultilevel"/>
    <w:tmpl w:val="66508C2C"/>
    <w:lvl w:ilvl="0" w:tplc="5958F5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07BA2"/>
    <w:multiLevelType w:val="hybridMultilevel"/>
    <w:tmpl w:val="B9DA82CC"/>
    <w:lvl w:ilvl="0" w:tplc="C832D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E4057E"/>
    <w:multiLevelType w:val="hybridMultilevel"/>
    <w:tmpl w:val="819841E0"/>
    <w:lvl w:ilvl="0" w:tplc="BEDA27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4"/>
  </w:num>
  <w:num w:numId="5">
    <w:abstractNumId w:val="2"/>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E17"/>
    <w:rsid w:val="00004589"/>
    <w:rsid w:val="0001280F"/>
    <w:rsid w:val="000128B0"/>
    <w:rsid w:val="00012C24"/>
    <w:rsid w:val="000151E5"/>
    <w:rsid w:val="00016CB4"/>
    <w:rsid w:val="00026F8C"/>
    <w:rsid w:val="000304A5"/>
    <w:rsid w:val="00033718"/>
    <w:rsid w:val="000343F0"/>
    <w:rsid w:val="00041A20"/>
    <w:rsid w:val="00044355"/>
    <w:rsid w:val="00044CCA"/>
    <w:rsid w:val="00047F0B"/>
    <w:rsid w:val="000503F7"/>
    <w:rsid w:val="00051BB7"/>
    <w:rsid w:val="000528C4"/>
    <w:rsid w:val="00053BA4"/>
    <w:rsid w:val="000547FF"/>
    <w:rsid w:val="00055AA5"/>
    <w:rsid w:val="00057DE2"/>
    <w:rsid w:val="00061581"/>
    <w:rsid w:val="00063988"/>
    <w:rsid w:val="00063B8D"/>
    <w:rsid w:val="00066C0A"/>
    <w:rsid w:val="00070E41"/>
    <w:rsid w:val="000723F9"/>
    <w:rsid w:val="00074321"/>
    <w:rsid w:val="00074E33"/>
    <w:rsid w:val="000754ED"/>
    <w:rsid w:val="00075A17"/>
    <w:rsid w:val="0007650A"/>
    <w:rsid w:val="000822A1"/>
    <w:rsid w:val="000828CD"/>
    <w:rsid w:val="00082926"/>
    <w:rsid w:val="000829F4"/>
    <w:rsid w:val="000832A9"/>
    <w:rsid w:val="00083DEF"/>
    <w:rsid w:val="000846B6"/>
    <w:rsid w:val="00085F21"/>
    <w:rsid w:val="00087A9B"/>
    <w:rsid w:val="00091D92"/>
    <w:rsid w:val="00093E6E"/>
    <w:rsid w:val="00094772"/>
    <w:rsid w:val="00096DAF"/>
    <w:rsid w:val="00097E2E"/>
    <w:rsid w:val="000A0ABA"/>
    <w:rsid w:val="000A510D"/>
    <w:rsid w:val="000A5A01"/>
    <w:rsid w:val="000A5AC9"/>
    <w:rsid w:val="000A743C"/>
    <w:rsid w:val="000A7F20"/>
    <w:rsid w:val="000B32C4"/>
    <w:rsid w:val="000B3A08"/>
    <w:rsid w:val="000B44A6"/>
    <w:rsid w:val="000B58DA"/>
    <w:rsid w:val="000C0219"/>
    <w:rsid w:val="000C0F37"/>
    <w:rsid w:val="000C40AC"/>
    <w:rsid w:val="000D07D7"/>
    <w:rsid w:val="000D09AE"/>
    <w:rsid w:val="000D1323"/>
    <w:rsid w:val="000D7354"/>
    <w:rsid w:val="000E4D8A"/>
    <w:rsid w:val="000E58C4"/>
    <w:rsid w:val="000F3928"/>
    <w:rsid w:val="000F671C"/>
    <w:rsid w:val="00100B2F"/>
    <w:rsid w:val="00103E77"/>
    <w:rsid w:val="00105B7C"/>
    <w:rsid w:val="00106065"/>
    <w:rsid w:val="0011144D"/>
    <w:rsid w:val="00111C31"/>
    <w:rsid w:val="00112A5D"/>
    <w:rsid w:val="001133BF"/>
    <w:rsid w:val="00114E6C"/>
    <w:rsid w:val="0011575D"/>
    <w:rsid w:val="00120421"/>
    <w:rsid w:val="0012081A"/>
    <w:rsid w:val="001211D3"/>
    <w:rsid w:val="00122694"/>
    <w:rsid w:val="0012284B"/>
    <w:rsid w:val="00125EDC"/>
    <w:rsid w:val="00131915"/>
    <w:rsid w:val="00132744"/>
    <w:rsid w:val="001411DA"/>
    <w:rsid w:val="00141D25"/>
    <w:rsid w:val="00145F36"/>
    <w:rsid w:val="00153C9A"/>
    <w:rsid w:val="0015501C"/>
    <w:rsid w:val="00156256"/>
    <w:rsid w:val="001568E5"/>
    <w:rsid w:val="001601FB"/>
    <w:rsid w:val="0016232D"/>
    <w:rsid w:val="00162807"/>
    <w:rsid w:val="00164620"/>
    <w:rsid w:val="0016529D"/>
    <w:rsid w:val="00167300"/>
    <w:rsid w:val="00171629"/>
    <w:rsid w:val="0017240F"/>
    <w:rsid w:val="0017278C"/>
    <w:rsid w:val="0017583F"/>
    <w:rsid w:val="00181550"/>
    <w:rsid w:val="0018166B"/>
    <w:rsid w:val="00183FCB"/>
    <w:rsid w:val="001852A4"/>
    <w:rsid w:val="00185E9B"/>
    <w:rsid w:val="00186FFD"/>
    <w:rsid w:val="001907B1"/>
    <w:rsid w:val="00193037"/>
    <w:rsid w:val="00193A69"/>
    <w:rsid w:val="001A194C"/>
    <w:rsid w:val="001A294C"/>
    <w:rsid w:val="001A323A"/>
    <w:rsid w:val="001A32C7"/>
    <w:rsid w:val="001A6F70"/>
    <w:rsid w:val="001B17FB"/>
    <w:rsid w:val="001B1860"/>
    <w:rsid w:val="001B561C"/>
    <w:rsid w:val="001B6B9E"/>
    <w:rsid w:val="001C235B"/>
    <w:rsid w:val="001C2400"/>
    <w:rsid w:val="001C2FB0"/>
    <w:rsid w:val="001C44FC"/>
    <w:rsid w:val="001D01A2"/>
    <w:rsid w:val="001D1865"/>
    <w:rsid w:val="001D27B7"/>
    <w:rsid w:val="001D35A0"/>
    <w:rsid w:val="001D3679"/>
    <w:rsid w:val="001D5815"/>
    <w:rsid w:val="001D5BD9"/>
    <w:rsid w:val="001D78C9"/>
    <w:rsid w:val="001E219F"/>
    <w:rsid w:val="001E4DA5"/>
    <w:rsid w:val="001E4F37"/>
    <w:rsid w:val="001E6E24"/>
    <w:rsid w:val="001E7534"/>
    <w:rsid w:val="001F1D99"/>
    <w:rsid w:val="001F3966"/>
    <w:rsid w:val="001F505C"/>
    <w:rsid w:val="00201A30"/>
    <w:rsid w:val="002038FA"/>
    <w:rsid w:val="00205CCF"/>
    <w:rsid w:val="0021218C"/>
    <w:rsid w:val="00217647"/>
    <w:rsid w:val="00217C48"/>
    <w:rsid w:val="00220122"/>
    <w:rsid w:val="002242FB"/>
    <w:rsid w:val="00234644"/>
    <w:rsid w:val="00236FC3"/>
    <w:rsid w:val="00237516"/>
    <w:rsid w:val="00241403"/>
    <w:rsid w:val="00241833"/>
    <w:rsid w:val="00241D84"/>
    <w:rsid w:val="00243658"/>
    <w:rsid w:val="00243C36"/>
    <w:rsid w:val="00244638"/>
    <w:rsid w:val="002450AB"/>
    <w:rsid w:val="00253E48"/>
    <w:rsid w:val="002554A5"/>
    <w:rsid w:val="002605C7"/>
    <w:rsid w:val="00260E7E"/>
    <w:rsid w:val="002623AF"/>
    <w:rsid w:val="002629B9"/>
    <w:rsid w:val="002631F7"/>
    <w:rsid w:val="0026423E"/>
    <w:rsid w:val="0026494D"/>
    <w:rsid w:val="00265AAD"/>
    <w:rsid w:val="00266175"/>
    <w:rsid w:val="00272F81"/>
    <w:rsid w:val="00273FD2"/>
    <w:rsid w:val="002745C2"/>
    <w:rsid w:val="00275E02"/>
    <w:rsid w:val="0028064A"/>
    <w:rsid w:val="00282149"/>
    <w:rsid w:val="00283679"/>
    <w:rsid w:val="002877B2"/>
    <w:rsid w:val="00291A89"/>
    <w:rsid w:val="00291C3B"/>
    <w:rsid w:val="00292F08"/>
    <w:rsid w:val="00293563"/>
    <w:rsid w:val="0029366B"/>
    <w:rsid w:val="00293F49"/>
    <w:rsid w:val="0029406B"/>
    <w:rsid w:val="00294F11"/>
    <w:rsid w:val="00295865"/>
    <w:rsid w:val="00297DB9"/>
    <w:rsid w:val="002A7E7B"/>
    <w:rsid w:val="002B03AA"/>
    <w:rsid w:val="002B045F"/>
    <w:rsid w:val="002B0482"/>
    <w:rsid w:val="002B0742"/>
    <w:rsid w:val="002B2AFE"/>
    <w:rsid w:val="002B50FA"/>
    <w:rsid w:val="002B6D89"/>
    <w:rsid w:val="002C041F"/>
    <w:rsid w:val="002C466E"/>
    <w:rsid w:val="002C4B5C"/>
    <w:rsid w:val="002C5CD2"/>
    <w:rsid w:val="002C651F"/>
    <w:rsid w:val="002C695C"/>
    <w:rsid w:val="002D03C4"/>
    <w:rsid w:val="002D285D"/>
    <w:rsid w:val="002D2BE9"/>
    <w:rsid w:val="002D3AF1"/>
    <w:rsid w:val="002D442C"/>
    <w:rsid w:val="002D5393"/>
    <w:rsid w:val="002D6171"/>
    <w:rsid w:val="002D6F09"/>
    <w:rsid w:val="002D7770"/>
    <w:rsid w:val="002D777D"/>
    <w:rsid w:val="002E1005"/>
    <w:rsid w:val="002E4107"/>
    <w:rsid w:val="002E4A1A"/>
    <w:rsid w:val="002E5A7A"/>
    <w:rsid w:val="002F055A"/>
    <w:rsid w:val="002F0A63"/>
    <w:rsid w:val="002F4E67"/>
    <w:rsid w:val="002F6167"/>
    <w:rsid w:val="00300BB6"/>
    <w:rsid w:val="00300C27"/>
    <w:rsid w:val="00301E19"/>
    <w:rsid w:val="00303263"/>
    <w:rsid w:val="00303BD6"/>
    <w:rsid w:val="00310BF0"/>
    <w:rsid w:val="003111FB"/>
    <w:rsid w:val="00311840"/>
    <w:rsid w:val="003123D1"/>
    <w:rsid w:val="0031288F"/>
    <w:rsid w:val="00315737"/>
    <w:rsid w:val="00316905"/>
    <w:rsid w:val="003174AD"/>
    <w:rsid w:val="003179D6"/>
    <w:rsid w:val="00321EB5"/>
    <w:rsid w:val="00323D86"/>
    <w:rsid w:val="00325ED5"/>
    <w:rsid w:val="00331378"/>
    <w:rsid w:val="003315E1"/>
    <w:rsid w:val="00332E1D"/>
    <w:rsid w:val="00335BF7"/>
    <w:rsid w:val="00335E17"/>
    <w:rsid w:val="003371E1"/>
    <w:rsid w:val="0034014B"/>
    <w:rsid w:val="0034065A"/>
    <w:rsid w:val="003420CB"/>
    <w:rsid w:val="00342438"/>
    <w:rsid w:val="003430DC"/>
    <w:rsid w:val="00343C56"/>
    <w:rsid w:val="00346E78"/>
    <w:rsid w:val="0034735F"/>
    <w:rsid w:val="003473D0"/>
    <w:rsid w:val="00351C23"/>
    <w:rsid w:val="0035292F"/>
    <w:rsid w:val="00353B1D"/>
    <w:rsid w:val="00354B85"/>
    <w:rsid w:val="00355A92"/>
    <w:rsid w:val="00360A66"/>
    <w:rsid w:val="003613A9"/>
    <w:rsid w:val="00362C56"/>
    <w:rsid w:val="003646EA"/>
    <w:rsid w:val="00366543"/>
    <w:rsid w:val="00372D2D"/>
    <w:rsid w:val="0037356F"/>
    <w:rsid w:val="003735A8"/>
    <w:rsid w:val="00373A58"/>
    <w:rsid w:val="00375A85"/>
    <w:rsid w:val="003829DC"/>
    <w:rsid w:val="00382BEA"/>
    <w:rsid w:val="003859A8"/>
    <w:rsid w:val="00385B2F"/>
    <w:rsid w:val="00391BB4"/>
    <w:rsid w:val="0039396F"/>
    <w:rsid w:val="00397AE5"/>
    <w:rsid w:val="003A0932"/>
    <w:rsid w:val="003A30DB"/>
    <w:rsid w:val="003A720E"/>
    <w:rsid w:val="003C4F17"/>
    <w:rsid w:val="003C6F75"/>
    <w:rsid w:val="003D11CC"/>
    <w:rsid w:val="003D332C"/>
    <w:rsid w:val="003D43BF"/>
    <w:rsid w:val="003D4961"/>
    <w:rsid w:val="003D534F"/>
    <w:rsid w:val="003D60AC"/>
    <w:rsid w:val="003D62B1"/>
    <w:rsid w:val="003D69C6"/>
    <w:rsid w:val="003E0169"/>
    <w:rsid w:val="003E054B"/>
    <w:rsid w:val="003E09B1"/>
    <w:rsid w:val="003E0DBD"/>
    <w:rsid w:val="003E0DD6"/>
    <w:rsid w:val="003E1411"/>
    <w:rsid w:val="003E575F"/>
    <w:rsid w:val="003E7F17"/>
    <w:rsid w:val="003F167E"/>
    <w:rsid w:val="003F2DE0"/>
    <w:rsid w:val="003F2E06"/>
    <w:rsid w:val="003F75C5"/>
    <w:rsid w:val="004006FC"/>
    <w:rsid w:val="00400FD5"/>
    <w:rsid w:val="00406F5E"/>
    <w:rsid w:val="004106E6"/>
    <w:rsid w:val="00411447"/>
    <w:rsid w:val="00411A4D"/>
    <w:rsid w:val="00416DD2"/>
    <w:rsid w:val="0042301D"/>
    <w:rsid w:val="0042326A"/>
    <w:rsid w:val="0042419B"/>
    <w:rsid w:val="00425338"/>
    <w:rsid w:val="00425C39"/>
    <w:rsid w:val="004276DD"/>
    <w:rsid w:val="00430307"/>
    <w:rsid w:val="00436437"/>
    <w:rsid w:val="00437B22"/>
    <w:rsid w:val="00442D47"/>
    <w:rsid w:val="0044345C"/>
    <w:rsid w:val="004464FC"/>
    <w:rsid w:val="004466F9"/>
    <w:rsid w:val="00446891"/>
    <w:rsid w:val="004473E0"/>
    <w:rsid w:val="0045058F"/>
    <w:rsid w:val="0045230B"/>
    <w:rsid w:val="004545A1"/>
    <w:rsid w:val="00455986"/>
    <w:rsid w:val="00456D14"/>
    <w:rsid w:val="00463EF3"/>
    <w:rsid w:val="00465B5C"/>
    <w:rsid w:val="00467BAC"/>
    <w:rsid w:val="00467CFF"/>
    <w:rsid w:val="00471B23"/>
    <w:rsid w:val="00473515"/>
    <w:rsid w:val="00477C28"/>
    <w:rsid w:val="00480135"/>
    <w:rsid w:val="00480201"/>
    <w:rsid w:val="00481749"/>
    <w:rsid w:val="00481FAB"/>
    <w:rsid w:val="004830EA"/>
    <w:rsid w:val="004845A1"/>
    <w:rsid w:val="00484CAD"/>
    <w:rsid w:val="00487414"/>
    <w:rsid w:val="00487FE3"/>
    <w:rsid w:val="00490641"/>
    <w:rsid w:val="00490EDD"/>
    <w:rsid w:val="00491744"/>
    <w:rsid w:val="00496156"/>
    <w:rsid w:val="00496984"/>
    <w:rsid w:val="004970E1"/>
    <w:rsid w:val="004A0819"/>
    <w:rsid w:val="004A2B9A"/>
    <w:rsid w:val="004A4031"/>
    <w:rsid w:val="004A4A64"/>
    <w:rsid w:val="004A7EBC"/>
    <w:rsid w:val="004B0EED"/>
    <w:rsid w:val="004B4957"/>
    <w:rsid w:val="004B5BF7"/>
    <w:rsid w:val="004C0796"/>
    <w:rsid w:val="004C4DAD"/>
    <w:rsid w:val="004C50AE"/>
    <w:rsid w:val="004C7710"/>
    <w:rsid w:val="004D1710"/>
    <w:rsid w:val="004D1D50"/>
    <w:rsid w:val="004D3302"/>
    <w:rsid w:val="004D3ED2"/>
    <w:rsid w:val="004D4F9B"/>
    <w:rsid w:val="004D627A"/>
    <w:rsid w:val="004E111D"/>
    <w:rsid w:val="004E31D5"/>
    <w:rsid w:val="004E3793"/>
    <w:rsid w:val="004E3D48"/>
    <w:rsid w:val="004E4DDA"/>
    <w:rsid w:val="004F7946"/>
    <w:rsid w:val="005065FA"/>
    <w:rsid w:val="00506DB4"/>
    <w:rsid w:val="00507523"/>
    <w:rsid w:val="005103BC"/>
    <w:rsid w:val="00513915"/>
    <w:rsid w:val="00533BC6"/>
    <w:rsid w:val="00533C8B"/>
    <w:rsid w:val="005368F9"/>
    <w:rsid w:val="00537281"/>
    <w:rsid w:val="00543939"/>
    <w:rsid w:val="0055067F"/>
    <w:rsid w:val="00556500"/>
    <w:rsid w:val="00560AC4"/>
    <w:rsid w:val="0056180B"/>
    <w:rsid w:val="00561D35"/>
    <w:rsid w:val="00562B6F"/>
    <w:rsid w:val="00564E82"/>
    <w:rsid w:val="00566ACE"/>
    <w:rsid w:val="00566ED8"/>
    <w:rsid w:val="00566EDB"/>
    <w:rsid w:val="00570E73"/>
    <w:rsid w:val="00573D04"/>
    <w:rsid w:val="0057404C"/>
    <w:rsid w:val="00574F66"/>
    <w:rsid w:val="00575E51"/>
    <w:rsid w:val="005800A0"/>
    <w:rsid w:val="00580351"/>
    <w:rsid w:val="005826C6"/>
    <w:rsid w:val="005864BC"/>
    <w:rsid w:val="00591343"/>
    <w:rsid w:val="00594DA6"/>
    <w:rsid w:val="00595EBA"/>
    <w:rsid w:val="0059728C"/>
    <w:rsid w:val="005A2D3C"/>
    <w:rsid w:val="005A3152"/>
    <w:rsid w:val="005A3350"/>
    <w:rsid w:val="005A3A91"/>
    <w:rsid w:val="005A70FD"/>
    <w:rsid w:val="005B1347"/>
    <w:rsid w:val="005B4150"/>
    <w:rsid w:val="005B4D91"/>
    <w:rsid w:val="005B6DEE"/>
    <w:rsid w:val="005B7508"/>
    <w:rsid w:val="005C0E01"/>
    <w:rsid w:val="005C3601"/>
    <w:rsid w:val="005C532C"/>
    <w:rsid w:val="005D40AA"/>
    <w:rsid w:val="005D5911"/>
    <w:rsid w:val="005D6234"/>
    <w:rsid w:val="005E0799"/>
    <w:rsid w:val="005E1E36"/>
    <w:rsid w:val="005F0A9F"/>
    <w:rsid w:val="005F18B4"/>
    <w:rsid w:val="00604C4D"/>
    <w:rsid w:val="00612F66"/>
    <w:rsid w:val="0061336B"/>
    <w:rsid w:val="00620E9D"/>
    <w:rsid w:val="0062124E"/>
    <w:rsid w:val="00621C2A"/>
    <w:rsid w:val="0062399A"/>
    <w:rsid w:val="00625321"/>
    <w:rsid w:val="006260D5"/>
    <w:rsid w:val="006306C2"/>
    <w:rsid w:val="006346B2"/>
    <w:rsid w:val="00636463"/>
    <w:rsid w:val="00637090"/>
    <w:rsid w:val="00637228"/>
    <w:rsid w:val="0064204F"/>
    <w:rsid w:val="006421F0"/>
    <w:rsid w:val="006424AD"/>
    <w:rsid w:val="00642DDD"/>
    <w:rsid w:val="00642DF1"/>
    <w:rsid w:val="00645BE4"/>
    <w:rsid w:val="00650E97"/>
    <w:rsid w:val="006513CF"/>
    <w:rsid w:val="00651F61"/>
    <w:rsid w:val="00652F27"/>
    <w:rsid w:val="00654562"/>
    <w:rsid w:val="0065674F"/>
    <w:rsid w:val="00657CC8"/>
    <w:rsid w:val="00660FED"/>
    <w:rsid w:val="00662259"/>
    <w:rsid w:val="00662F2F"/>
    <w:rsid w:val="00665CC3"/>
    <w:rsid w:val="00665CC6"/>
    <w:rsid w:val="00665D2A"/>
    <w:rsid w:val="00667747"/>
    <w:rsid w:val="00670FA0"/>
    <w:rsid w:val="00674326"/>
    <w:rsid w:val="00674609"/>
    <w:rsid w:val="0068088E"/>
    <w:rsid w:val="00684790"/>
    <w:rsid w:val="0068523F"/>
    <w:rsid w:val="00685678"/>
    <w:rsid w:val="00685DE3"/>
    <w:rsid w:val="0068605C"/>
    <w:rsid w:val="00690A15"/>
    <w:rsid w:val="00694412"/>
    <w:rsid w:val="00695359"/>
    <w:rsid w:val="006A0BA5"/>
    <w:rsid w:val="006B156A"/>
    <w:rsid w:val="006B6549"/>
    <w:rsid w:val="006C32E1"/>
    <w:rsid w:val="006C485C"/>
    <w:rsid w:val="006C795E"/>
    <w:rsid w:val="006C7B22"/>
    <w:rsid w:val="006D4133"/>
    <w:rsid w:val="006D5158"/>
    <w:rsid w:val="006D598B"/>
    <w:rsid w:val="006D5DE9"/>
    <w:rsid w:val="006D6450"/>
    <w:rsid w:val="006D71EB"/>
    <w:rsid w:val="006D78FD"/>
    <w:rsid w:val="006E261F"/>
    <w:rsid w:val="006E3386"/>
    <w:rsid w:val="006E5788"/>
    <w:rsid w:val="006F2759"/>
    <w:rsid w:val="006F4652"/>
    <w:rsid w:val="006F6F37"/>
    <w:rsid w:val="006F7CB0"/>
    <w:rsid w:val="00701174"/>
    <w:rsid w:val="00703985"/>
    <w:rsid w:val="00714717"/>
    <w:rsid w:val="00720C37"/>
    <w:rsid w:val="00722C70"/>
    <w:rsid w:val="007244AD"/>
    <w:rsid w:val="00724DE2"/>
    <w:rsid w:val="00724E45"/>
    <w:rsid w:val="0072548F"/>
    <w:rsid w:val="00731D72"/>
    <w:rsid w:val="00733D6D"/>
    <w:rsid w:val="007350A7"/>
    <w:rsid w:val="00737857"/>
    <w:rsid w:val="00737DBB"/>
    <w:rsid w:val="007418F6"/>
    <w:rsid w:val="00742505"/>
    <w:rsid w:val="007451B1"/>
    <w:rsid w:val="007525BF"/>
    <w:rsid w:val="00755FA6"/>
    <w:rsid w:val="00763529"/>
    <w:rsid w:val="007713D9"/>
    <w:rsid w:val="0077241C"/>
    <w:rsid w:val="00772B65"/>
    <w:rsid w:val="007747E2"/>
    <w:rsid w:val="00775917"/>
    <w:rsid w:val="00777B8C"/>
    <w:rsid w:val="00780845"/>
    <w:rsid w:val="00781ACD"/>
    <w:rsid w:val="00782B3B"/>
    <w:rsid w:val="00786E98"/>
    <w:rsid w:val="00787123"/>
    <w:rsid w:val="00791C6A"/>
    <w:rsid w:val="00796362"/>
    <w:rsid w:val="00796546"/>
    <w:rsid w:val="00796C5C"/>
    <w:rsid w:val="007A0AEA"/>
    <w:rsid w:val="007A237B"/>
    <w:rsid w:val="007A45C6"/>
    <w:rsid w:val="007A6C50"/>
    <w:rsid w:val="007B284C"/>
    <w:rsid w:val="007B535E"/>
    <w:rsid w:val="007B5678"/>
    <w:rsid w:val="007B7707"/>
    <w:rsid w:val="007C0415"/>
    <w:rsid w:val="007C0C07"/>
    <w:rsid w:val="007C1347"/>
    <w:rsid w:val="007C139D"/>
    <w:rsid w:val="007C164C"/>
    <w:rsid w:val="007C2FC0"/>
    <w:rsid w:val="007C4C43"/>
    <w:rsid w:val="007C63A2"/>
    <w:rsid w:val="007C6DB1"/>
    <w:rsid w:val="007C7D73"/>
    <w:rsid w:val="007D1B54"/>
    <w:rsid w:val="007D286F"/>
    <w:rsid w:val="007D58F9"/>
    <w:rsid w:val="007E4629"/>
    <w:rsid w:val="007E6313"/>
    <w:rsid w:val="007E6EF5"/>
    <w:rsid w:val="007F5FC4"/>
    <w:rsid w:val="0080123E"/>
    <w:rsid w:val="008015F1"/>
    <w:rsid w:val="00803D87"/>
    <w:rsid w:val="00804719"/>
    <w:rsid w:val="00804D41"/>
    <w:rsid w:val="00806DFD"/>
    <w:rsid w:val="0081057A"/>
    <w:rsid w:val="008110D1"/>
    <w:rsid w:val="008115C5"/>
    <w:rsid w:val="0081226A"/>
    <w:rsid w:val="00814961"/>
    <w:rsid w:val="00817A1E"/>
    <w:rsid w:val="00834959"/>
    <w:rsid w:val="008419BA"/>
    <w:rsid w:val="00842536"/>
    <w:rsid w:val="008446BF"/>
    <w:rsid w:val="008447C0"/>
    <w:rsid w:val="00846E45"/>
    <w:rsid w:val="008479D1"/>
    <w:rsid w:val="008501D1"/>
    <w:rsid w:val="008505CF"/>
    <w:rsid w:val="0085242D"/>
    <w:rsid w:val="00852B15"/>
    <w:rsid w:val="00860723"/>
    <w:rsid w:val="00860DEB"/>
    <w:rsid w:val="008635A0"/>
    <w:rsid w:val="008638D2"/>
    <w:rsid w:val="008677EB"/>
    <w:rsid w:val="00867AFB"/>
    <w:rsid w:val="0087335C"/>
    <w:rsid w:val="00875CAB"/>
    <w:rsid w:val="00875CBF"/>
    <w:rsid w:val="00876003"/>
    <w:rsid w:val="008803A1"/>
    <w:rsid w:val="0088596D"/>
    <w:rsid w:val="00886506"/>
    <w:rsid w:val="00886621"/>
    <w:rsid w:val="008870F7"/>
    <w:rsid w:val="00887502"/>
    <w:rsid w:val="008946EE"/>
    <w:rsid w:val="00896AD9"/>
    <w:rsid w:val="008A1004"/>
    <w:rsid w:val="008A3A1D"/>
    <w:rsid w:val="008A3CA6"/>
    <w:rsid w:val="008A5A85"/>
    <w:rsid w:val="008A5CF3"/>
    <w:rsid w:val="008A644F"/>
    <w:rsid w:val="008B244E"/>
    <w:rsid w:val="008B2754"/>
    <w:rsid w:val="008B28E9"/>
    <w:rsid w:val="008B3383"/>
    <w:rsid w:val="008B5BD1"/>
    <w:rsid w:val="008B5CFF"/>
    <w:rsid w:val="008B6C37"/>
    <w:rsid w:val="008C1988"/>
    <w:rsid w:val="008C2251"/>
    <w:rsid w:val="008C2B0B"/>
    <w:rsid w:val="008C5917"/>
    <w:rsid w:val="008C606B"/>
    <w:rsid w:val="008C6871"/>
    <w:rsid w:val="008C6EC1"/>
    <w:rsid w:val="008D15D7"/>
    <w:rsid w:val="008D2FCB"/>
    <w:rsid w:val="008D371B"/>
    <w:rsid w:val="008E0A53"/>
    <w:rsid w:val="008E598E"/>
    <w:rsid w:val="008E7995"/>
    <w:rsid w:val="008F4E8C"/>
    <w:rsid w:val="008F6544"/>
    <w:rsid w:val="008F6A82"/>
    <w:rsid w:val="00902CE1"/>
    <w:rsid w:val="00903663"/>
    <w:rsid w:val="009146BD"/>
    <w:rsid w:val="009159AD"/>
    <w:rsid w:val="00915D92"/>
    <w:rsid w:val="00915D94"/>
    <w:rsid w:val="00916A8F"/>
    <w:rsid w:val="0092441C"/>
    <w:rsid w:val="00924CA9"/>
    <w:rsid w:val="00925C28"/>
    <w:rsid w:val="00925ECC"/>
    <w:rsid w:val="00926279"/>
    <w:rsid w:val="009265CA"/>
    <w:rsid w:val="009274CA"/>
    <w:rsid w:val="00930EBC"/>
    <w:rsid w:val="00934269"/>
    <w:rsid w:val="00934528"/>
    <w:rsid w:val="00934D91"/>
    <w:rsid w:val="00935D3F"/>
    <w:rsid w:val="0094083D"/>
    <w:rsid w:val="0094192A"/>
    <w:rsid w:val="00941B47"/>
    <w:rsid w:val="00943A63"/>
    <w:rsid w:val="009443C7"/>
    <w:rsid w:val="0094543B"/>
    <w:rsid w:val="009457E6"/>
    <w:rsid w:val="00951B55"/>
    <w:rsid w:val="00953BA2"/>
    <w:rsid w:val="009648F3"/>
    <w:rsid w:val="009672DD"/>
    <w:rsid w:val="0097134A"/>
    <w:rsid w:val="00972F7D"/>
    <w:rsid w:val="00973261"/>
    <w:rsid w:val="00976EC1"/>
    <w:rsid w:val="009778D3"/>
    <w:rsid w:val="0098522E"/>
    <w:rsid w:val="009873B6"/>
    <w:rsid w:val="009960E3"/>
    <w:rsid w:val="009A1CB4"/>
    <w:rsid w:val="009A36F1"/>
    <w:rsid w:val="009B4F9C"/>
    <w:rsid w:val="009B611E"/>
    <w:rsid w:val="009B66A0"/>
    <w:rsid w:val="009B7B38"/>
    <w:rsid w:val="009C510F"/>
    <w:rsid w:val="009D11E2"/>
    <w:rsid w:val="009D49E1"/>
    <w:rsid w:val="009D6956"/>
    <w:rsid w:val="009E3A3F"/>
    <w:rsid w:val="009E3BA3"/>
    <w:rsid w:val="009E5144"/>
    <w:rsid w:val="009E5474"/>
    <w:rsid w:val="009E5EE0"/>
    <w:rsid w:val="009E72F1"/>
    <w:rsid w:val="009F1AC1"/>
    <w:rsid w:val="009F3517"/>
    <w:rsid w:val="00A04AAF"/>
    <w:rsid w:val="00A10398"/>
    <w:rsid w:val="00A12C87"/>
    <w:rsid w:val="00A13013"/>
    <w:rsid w:val="00A201A5"/>
    <w:rsid w:val="00A20A98"/>
    <w:rsid w:val="00A21ABD"/>
    <w:rsid w:val="00A22F92"/>
    <w:rsid w:val="00A24164"/>
    <w:rsid w:val="00A26C2D"/>
    <w:rsid w:val="00A314E5"/>
    <w:rsid w:val="00A33C73"/>
    <w:rsid w:val="00A35468"/>
    <w:rsid w:val="00A362C1"/>
    <w:rsid w:val="00A36A8E"/>
    <w:rsid w:val="00A37085"/>
    <w:rsid w:val="00A40714"/>
    <w:rsid w:val="00A41D68"/>
    <w:rsid w:val="00A42045"/>
    <w:rsid w:val="00A425C4"/>
    <w:rsid w:val="00A42D69"/>
    <w:rsid w:val="00A45224"/>
    <w:rsid w:val="00A453CD"/>
    <w:rsid w:val="00A50528"/>
    <w:rsid w:val="00A5289C"/>
    <w:rsid w:val="00A538FE"/>
    <w:rsid w:val="00A53B94"/>
    <w:rsid w:val="00A600C9"/>
    <w:rsid w:val="00A60E71"/>
    <w:rsid w:val="00A62035"/>
    <w:rsid w:val="00A643E8"/>
    <w:rsid w:val="00A645D2"/>
    <w:rsid w:val="00A659A8"/>
    <w:rsid w:val="00A6671D"/>
    <w:rsid w:val="00A67335"/>
    <w:rsid w:val="00A703A4"/>
    <w:rsid w:val="00A70EAC"/>
    <w:rsid w:val="00A71A70"/>
    <w:rsid w:val="00A7284E"/>
    <w:rsid w:val="00A72850"/>
    <w:rsid w:val="00A73AFE"/>
    <w:rsid w:val="00A76A85"/>
    <w:rsid w:val="00A77424"/>
    <w:rsid w:val="00A8094F"/>
    <w:rsid w:val="00A8096F"/>
    <w:rsid w:val="00A838BA"/>
    <w:rsid w:val="00A83DA9"/>
    <w:rsid w:val="00A8443A"/>
    <w:rsid w:val="00A8670B"/>
    <w:rsid w:val="00A920BD"/>
    <w:rsid w:val="00A92FDA"/>
    <w:rsid w:val="00A95488"/>
    <w:rsid w:val="00A966A4"/>
    <w:rsid w:val="00A973AB"/>
    <w:rsid w:val="00A979C2"/>
    <w:rsid w:val="00AA24A9"/>
    <w:rsid w:val="00AA3C68"/>
    <w:rsid w:val="00AA6B1B"/>
    <w:rsid w:val="00AA6E43"/>
    <w:rsid w:val="00AA777D"/>
    <w:rsid w:val="00AB04DE"/>
    <w:rsid w:val="00AB3F74"/>
    <w:rsid w:val="00AB4BF6"/>
    <w:rsid w:val="00AB5834"/>
    <w:rsid w:val="00AB7D98"/>
    <w:rsid w:val="00AC5A32"/>
    <w:rsid w:val="00AC632C"/>
    <w:rsid w:val="00AC686B"/>
    <w:rsid w:val="00AC793D"/>
    <w:rsid w:val="00AD1223"/>
    <w:rsid w:val="00AD1959"/>
    <w:rsid w:val="00AD2111"/>
    <w:rsid w:val="00AD6A1B"/>
    <w:rsid w:val="00AE28D6"/>
    <w:rsid w:val="00AE3A8F"/>
    <w:rsid w:val="00AE3FE5"/>
    <w:rsid w:val="00AE55E2"/>
    <w:rsid w:val="00AE5C32"/>
    <w:rsid w:val="00AE702B"/>
    <w:rsid w:val="00AE7681"/>
    <w:rsid w:val="00AF2190"/>
    <w:rsid w:val="00AF4D1B"/>
    <w:rsid w:val="00AF588B"/>
    <w:rsid w:val="00AF5C82"/>
    <w:rsid w:val="00AF6CC9"/>
    <w:rsid w:val="00AF6E46"/>
    <w:rsid w:val="00AF72BD"/>
    <w:rsid w:val="00B0072C"/>
    <w:rsid w:val="00B01EF9"/>
    <w:rsid w:val="00B026C1"/>
    <w:rsid w:val="00B02881"/>
    <w:rsid w:val="00B02E46"/>
    <w:rsid w:val="00B040A3"/>
    <w:rsid w:val="00B04C7A"/>
    <w:rsid w:val="00B04E8E"/>
    <w:rsid w:val="00B06E3E"/>
    <w:rsid w:val="00B1001D"/>
    <w:rsid w:val="00B16216"/>
    <w:rsid w:val="00B17F5C"/>
    <w:rsid w:val="00B2090C"/>
    <w:rsid w:val="00B20BB2"/>
    <w:rsid w:val="00B23144"/>
    <w:rsid w:val="00B26AB1"/>
    <w:rsid w:val="00B31F38"/>
    <w:rsid w:val="00B32176"/>
    <w:rsid w:val="00B3360E"/>
    <w:rsid w:val="00B33E09"/>
    <w:rsid w:val="00B34261"/>
    <w:rsid w:val="00B35738"/>
    <w:rsid w:val="00B36598"/>
    <w:rsid w:val="00B41A9B"/>
    <w:rsid w:val="00B43DF1"/>
    <w:rsid w:val="00B453D5"/>
    <w:rsid w:val="00B54D77"/>
    <w:rsid w:val="00B60057"/>
    <w:rsid w:val="00B606DA"/>
    <w:rsid w:val="00B67887"/>
    <w:rsid w:val="00B706AC"/>
    <w:rsid w:val="00B70F14"/>
    <w:rsid w:val="00B73D2B"/>
    <w:rsid w:val="00B76BE4"/>
    <w:rsid w:val="00B800F3"/>
    <w:rsid w:val="00B82BCA"/>
    <w:rsid w:val="00B833D3"/>
    <w:rsid w:val="00B85C44"/>
    <w:rsid w:val="00B8762C"/>
    <w:rsid w:val="00B940C0"/>
    <w:rsid w:val="00B95465"/>
    <w:rsid w:val="00B961C9"/>
    <w:rsid w:val="00BA010F"/>
    <w:rsid w:val="00BA2C01"/>
    <w:rsid w:val="00BA5072"/>
    <w:rsid w:val="00BA5E84"/>
    <w:rsid w:val="00BB2F12"/>
    <w:rsid w:val="00BB2FD7"/>
    <w:rsid w:val="00BB50F2"/>
    <w:rsid w:val="00BB5FC5"/>
    <w:rsid w:val="00BB69AC"/>
    <w:rsid w:val="00BB7905"/>
    <w:rsid w:val="00BC36C5"/>
    <w:rsid w:val="00BC5CB9"/>
    <w:rsid w:val="00BD1163"/>
    <w:rsid w:val="00BD1AB9"/>
    <w:rsid w:val="00BD535D"/>
    <w:rsid w:val="00BD59EC"/>
    <w:rsid w:val="00BE104C"/>
    <w:rsid w:val="00BE3702"/>
    <w:rsid w:val="00BE4CAE"/>
    <w:rsid w:val="00BF3615"/>
    <w:rsid w:val="00BF47EE"/>
    <w:rsid w:val="00BF6282"/>
    <w:rsid w:val="00BF72EE"/>
    <w:rsid w:val="00C00BF6"/>
    <w:rsid w:val="00C00EE3"/>
    <w:rsid w:val="00C0200A"/>
    <w:rsid w:val="00C0218D"/>
    <w:rsid w:val="00C0447B"/>
    <w:rsid w:val="00C068C3"/>
    <w:rsid w:val="00C10441"/>
    <w:rsid w:val="00C11164"/>
    <w:rsid w:val="00C161BE"/>
    <w:rsid w:val="00C16F6F"/>
    <w:rsid w:val="00C170AC"/>
    <w:rsid w:val="00C20A7A"/>
    <w:rsid w:val="00C20D07"/>
    <w:rsid w:val="00C20EBA"/>
    <w:rsid w:val="00C2266B"/>
    <w:rsid w:val="00C23AB7"/>
    <w:rsid w:val="00C24EE9"/>
    <w:rsid w:val="00C2675E"/>
    <w:rsid w:val="00C26ECA"/>
    <w:rsid w:val="00C2704E"/>
    <w:rsid w:val="00C30A0B"/>
    <w:rsid w:val="00C34640"/>
    <w:rsid w:val="00C3524B"/>
    <w:rsid w:val="00C41220"/>
    <w:rsid w:val="00C418D9"/>
    <w:rsid w:val="00C43CD4"/>
    <w:rsid w:val="00C44190"/>
    <w:rsid w:val="00C45575"/>
    <w:rsid w:val="00C45DEC"/>
    <w:rsid w:val="00C50E82"/>
    <w:rsid w:val="00C5380F"/>
    <w:rsid w:val="00C56777"/>
    <w:rsid w:val="00C67224"/>
    <w:rsid w:val="00C7177D"/>
    <w:rsid w:val="00C74C0A"/>
    <w:rsid w:val="00C7571E"/>
    <w:rsid w:val="00C815ED"/>
    <w:rsid w:val="00C81F8B"/>
    <w:rsid w:val="00C84A3B"/>
    <w:rsid w:val="00C87013"/>
    <w:rsid w:val="00C90E1A"/>
    <w:rsid w:val="00C9116A"/>
    <w:rsid w:val="00C92A2E"/>
    <w:rsid w:val="00C945B7"/>
    <w:rsid w:val="00C96C6A"/>
    <w:rsid w:val="00C975B2"/>
    <w:rsid w:val="00CA127F"/>
    <w:rsid w:val="00CA1B44"/>
    <w:rsid w:val="00CA3CAD"/>
    <w:rsid w:val="00CA687D"/>
    <w:rsid w:val="00CA73CD"/>
    <w:rsid w:val="00CB4848"/>
    <w:rsid w:val="00CB5E32"/>
    <w:rsid w:val="00CB66DA"/>
    <w:rsid w:val="00CC13ED"/>
    <w:rsid w:val="00CC2E59"/>
    <w:rsid w:val="00CC3B10"/>
    <w:rsid w:val="00CC4E37"/>
    <w:rsid w:val="00CC5FB4"/>
    <w:rsid w:val="00CC6518"/>
    <w:rsid w:val="00CC6E5B"/>
    <w:rsid w:val="00CC7DB6"/>
    <w:rsid w:val="00CD1A91"/>
    <w:rsid w:val="00CE058D"/>
    <w:rsid w:val="00CE297C"/>
    <w:rsid w:val="00CE4E92"/>
    <w:rsid w:val="00CE76D6"/>
    <w:rsid w:val="00CF31E7"/>
    <w:rsid w:val="00CF3272"/>
    <w:rsid w:val="00CF3391"/>
    <w:rsid w:val="00CF370D"/>
    <w:rsid w:val="00CF450E"/>
    <w:rsid w:val="00D00CD9"/>
    <w:rsid w:val="00D01BB6"/>
    <w:rsid w:val="00D03ACA"/>
    <w:rsid w:val="00D03EF0"/>
    <w:rsid w:val="00D04077"/>
    <w:rsid w:val="00D076B3"/>
    <w:rsid w:val="00D109F4"/>
    <w:rsid w:val="00D16753"/>
    <w:rsid w:val="00D16E50"/>
    <w:rsid w:val="00D22072"/>
    <w:rsid w:val="00D2252B"/>
    <w:rsid w:val="00D22E9F"/>
    <w:rsid w:val="00D2319D"/>
    <w:rsid w:val="00D23AB3"/>
    <w:rsid w:val="00D2473E"/>
    <w:rsid w:val="00D26FC6"/>
    <w:rsid w:val="00D272C4"/>
    <w:rsid w:val="00D3222C"/>
    <w:rsid w:val="00D33019"/>
    <w:rsid w:val="00D34943"/>
    <w:rsid w:val="00D359AD"/>
    <w:rsid w:val="00D405F7"/>
    <w:rsid w:val="00D40FC3"/>
    <w:rsid w:val="00D412B9"/>
    <w:rsid w:val="00D41C2B"/>
    <w:rsid w:val="00D464F9"/>
    <w:rsid w:val="00D62160"/>
    <w:rsid w:val="00D62F81"/>
    <w:rsid w:val="00D63EA2"/>
    <w:rsid w:val="00D6691C"/>
    <w:rsid w:val="00D70B15"/>
    <w:rsid w:val="00D7342E"/>
    <w:rsid w:val="00D737A4"/>
    <w:rsid w:val="00D73889"/>
    <w:rsid w:val="00D7508B"/>
    <w:rsid w:val="00D75A87"/>
    <w:rsid w:val="00D81D8B"/>
    <w:rsid w:val="00D81E1D"/>
    <w:rsid w:val="00D82A3C"/>
    <w:rsid w:val="00D840AD"/>
    <w:rsid w:val="00D847B0"/>
    <w:rsid w:val="00D86E62"/>
    <w:rsid w:val="00D87076"/>
    <w:rsid w:val="00D92893"/>
    <w:rsid w:val="00D938B5"/>
    <w:rsid w:val="00D942F9"/>
    <w:rsid w:val="00D94DF3"/>
    <w:rsid w:val="00DA0C6A"/>
    <w:rsid w:val="00DA19DD"/>
    <w:rsid w:val="00DA2335"/>
    <w:rsid w:val="00DA2731"/>
    <w:rsid w:val="00DA3F7A"/>
    <w:rsid w:val="00DA401F"/>
    <w:rsid w:val="00DB0523"/>
    <w:rsid w:val="00DB1AD3"/>
    <w:rsid w:val="00DB2E58"/>
    <w:rsid w:val="00DC0A90"/>
    <w:rsid w:val="00DC1C4A"/>
    <w:rsid w:val="00DC2A15"/>
    <w:rsid w:val="00DC3837"/>
    <w:rsid w:val="00DC70AB"/>
    <w:rsid w:val="00DD0D0A"/>
    <w:rsid w:val="00DD0EAF"/>
    <w:rsid w:val="00DD353D"/>
    <w:rsid w:val="00DD3E4D"/>
    <w:rsid w:val="00DD500E"/>
    <w:rsid w:val="00DD7FC2"/>
    <w:rsid w:val="00DE007D"/>
    <w:rsid w:val="00DE318E"/>
    <w:rsid w:val="00DE3AB7"/>
    <w:rsid w:val="00DE3FF4"/>
    <w:rsid w:val="00DE4E4A"/>
    <w:rsid w:val="00DE5FB4"/>
    <w:rsid w:val="00DE7BBD"/>
    <w:rsid w:val="00DE7E40"/>
    <w:rsid w:val="00DF5B5A"/>
    <w:rsid w:val="00DF6551"/>
    <w:rsid w:val="00E06041"/>
    <w:rsid w:val="00E1171F"/>
    <w:rsid w:val="00E14E38"/>
    <w:rsid w:val="00E17201"/>
    <w:rsid w:val="00E22F1A"/>
    <w:rsid w:val="00E270FB"/>
    <w:rsid w:val="00E27D42"/>
    <w:rsid w:val="00E31AE1"/>
    <w:rsid w:val="00E31B68"/>
    <w:rsid w:val="00E321AD"/>
    <w:rsid w:val="00E36ECD"/>
    <w:rsid w:val="00E36FD6"/>
    <w:rsid w:val="00E45DCB"/>
    <w:rsid w:val="00E4642C"/>
    <w:rsid w:val="00E46A53"/>
    <w:rsid w:val="00E478EB"/>
    <w:rsid w:val="00E5012E"/>
    <w:rsid w:val="00E520C3"/>
    <w:rsid w:val="00E530C6"/>
    <w:rsid w:val="00E54B96"/>
    <w:rsid w:val="00E60347"/>
    <w:rsid w:val="00E61D85"/>
    <w:rsid w:val="00E6605A"/>
    <w:rsid w:val="00E67590"/>
    <w:rsid w:val="00E675B8"/>
    <w:rsid w:val="00E70794"/>
    <w:rsid w:val="00E80E1F"/>
    <w:rsid w:val="00E8290C"/>
    <w:rsid w:val="00E911D5"/>
    <w:rsid w:val="00E921E3"/>
    <w:rsid w:val="00E9627A"/>
    <w:rsid w:val="00E9646F"/>
    <w:rsid w:val="00E96615"/>
    <w:rsid w:val="00E9671A"/>
    <w:rsid w:val="00E968F4"/>
    <w:rsid w:val="00EA54AF"/>
    <w:rsid w:val="00EA6387"/>
    <w:rsid w:val="00EB28CF"/>
    <w:rsid w:val="00EB6718"/>
    <w:rsid w:val="00EC0AE8"/>
    <w:rsid w:val="00EC16D8"/>
    <w:rsid w:val="00EC766E"/>
    <w:rsid w:val="00ED0151"/>
    <w:rsid w:val="00ED12FB"/>
    <w:rsid w:val="00ED44F4"/>
    <w:rsid w:val="00ED4906"/>
    <w:rsid w:val="00EE089E"/>
    <w:rsid w:val="00EE2534"/>
    <w:rsid w:val="00EE6B0F"/>
    <w:rsid w:val="00EE7A14"/>
    <w:rsid w:val="00EE7B4F"/>
    <w:rsid w:val="00EF2C5E"/>
    <w:rsid w:val="00EF385A"/>
    <w:rsid w:val="00EF5076"/>
    <w:rsid w:val="00EF52E2"/>
    <w:rsid w:val="00EF54B1"/>
    <w:rsid w:val="00EF5BA6"/>
    <w:rsid w:val="00EF73B0"/>
    <w:rsid w:val="00F014E4"/>
    <w:rsid w:val="00F01F26"/>
    <w:rsid w:val="00F030F6"/>
    <w:rsid w:val="00F04880"/>
    <w:rsid w:val="00F04DED"/>
    <w:rsid w:val="00F11C71"/>
    <w:rsid w:val="00F138E9"/>
    <w:rsid w:val="00F1450E"/>
    <w:rsid w:val="00F16C66"/>
    <w:rsid w:val="00F173D6"/>
    <w:rsid w:val="00F17655"/>
    <w:rsid w:val="00F20783"/>
    <w:rsid w:val="00F20B49"/>
    <w:rsid w:val="00F25069"/>
    <w:rsid w:val="00F26EA3"/>
    <w:rsid w:val="00F27BD5"/>
    <w:rsid w:val="00F315F5"/>
    <w:rsid w:val="00F3210A"/>
    <w:rsid w:val="00F3494B"/>
    <w:rsid w:val="00F3668F"/>
    <w:rsid w:val="00F37277"/>
    <w:rsid w:val="00F406D9"/>
    <w:rsid w:val="00F40EA3"/>
    <w:rsid w:val="00F444A1"/>
    <w:rsid w:val="00F5163E"/>
    <w:rsid w:val="00F5486C"/>
    <w:rsid w:val="00F60279"/>
    <w:rsid w:val="00F606FA"/>
    <w:rsid w:val="00F629F4"/>
    <w:rsid w:val="00F65860"/>
    <w:rsid w:val="00F6766A"/>
    <w:rsid w:val="00F702C0"/>
    <w:rsid w:val="00F7207C"/>
    <w:rsid w:val="00F73C0D"/>
    <w:rsid w:val="00F73DD9"/>
    <w:rsid w:val="00F74369"/>
    <w:rsid w:val="00F747E3"/>
    <w:rsid w:val="00F7625C"/>
    <w:rsid w:val="00F7716F"/>
    <w:rsid w:val="00F771BD"/>
    <w:rsid w:val="00F8072F"/>
    <w:rsid w:val="00F814A7"/>
    <w:rsid w:val="00F819FC"/>
    <w:rsid w:val="00F81D61"/>
    <w:rsid w:val="00F8203E"/>
    <w:rsid w:val="00F828B2"/>
    <w:rsid w:val="00F841B0"/>
    <w:rsid w:val="00F857B8"/>
    <w:rsid w:val="00F9191B"/>
    <w:rsid w:val="00F92244"/>
    <w:rsid w:val="00F935C5"/>
    <w:rsid w:val="00F9488E"/>
    <w:rsid w:val="00F97B63"/>
    <w:rsid w:val="00FA1828"/>
    <w:rsid w:val="00FA2EC0"/>
    <w:rsid w:val="00FA36E9"/>
    <w:rsid w:val="00FB17A9"/>
    <w:rsid w:val="00FB527A"/>
    <w:rsid w:val="00FB5964"/>
    <w:rsid w:val="00FB5F3B"/>
    <w:rsid w:val="00FC3EEE"/>
    <w:rsid w:val="00FC67B1"/>
    <w:rsid w:val="00FC7886"/>
    <w:rsid w:val="00FD5842"/>
    <w:rsid w:val="00FD78C9"/>
    <w:rsid w:val="00FE076C"/>
    <w:rsid w:val="00FE2624"/>
    <w:rsid w:val="00FE5FCF"/>
    <w:rsid w:val="00FE5FF6"/>
    <w:rsid w:val="00FE6920"/>
    <w:rsid w:val="00FE7702"/>
    <w:rsid w:val="00FF1C77"/>
    <w:rsid w:val="00FF3935"/>
    <w:rsid w:val="00FF6931"/>
    <w:rsid w:val="00FF72D7"/>
    <w:rsid w:val="00FF7530"/>
    <w:rsid w:val="00FF7B7C"/>
    <w:rsid w:val="00FF7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364B"/>
  <w15:chartTrackingRefBased/>
  <w15:docId w15:val="{0FF0C382-6D00-4DBE-9FB3-4B3CA33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0B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Char Char Char Char Char Char Char Char Char Char Char Char,Char Char Char Char Char Char Char Char Char Char Char Char,Char Char Cha,Char"/>
    <w:basedOn w:val="Normal"/>
    <w:link w:val="NormalWebChar"/>
    <w:uiPriority w:val="99"/>
    <w:unhideWhenUsed/>
    <w:qFormat/>
    <w:rsid w:val="00335E17"/>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 Char Char Char Char,Char Char Cha Char,Char Char"/>
    <w:link w:val="NormalWeb"/>
    <w:uiPriority w:val="99"/>
    <w:qFormat/>
    <w:locked/>
    <w:rsid w:val="00335E17"/>
    <w:rPr>
      <w:rFonts w:ascii="Times New Roman" w:eastAsiaTheme="minorEastAsia" w:hAnsi="Times New Roman" w:cs="Times New Roman"/>
      <w:sz w:val="24"/>
      <w:szCs w:val="24"/>
    </w:rPr>
  </w:style>
  <w:style w:type="table" w:styleId="TableGrid">
    <w:name w:val="Table Grid"/>
    <w:basedOn w:val="TableNormal"/>
    <w:uiPriority w:val="39"/>
    <w:rsid w:val="00335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7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3D0"/>
  </w:style>
  <w:style w:type="paragraph" w:styleId="Footer">
    <w:name w:val="footer"/>
    <w:basedOn w:val="Normal"/>
    <w:link w:val="FooterChar"/>
    <w:uiPriority w:val="99"/>
    <w:unhideWhenUsed/>
    <w:rsid w:val="00347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3D0"/>
  </w:style>
  <w:style w:type="paragraph" w:styleId="ListParagraph">
    <w:name w:val="List Paragraph"/>
    <w:basedOn w:val="Normal"/>
    <w:uiPriority w:val="1"/>
    <w:qFormat/>
    <w:rsid w:val="00B95465"/>
    <w:pPr>
      <w:ind w:left="720"/>
      <w:contextualSpacing/>
    </w:pPr>
  </w:style>
  <w:style w:type="character" w:styleId="CommentReference">
    <w:name w:val="annotation reference"/>
    <w:basedOn w:val="DefaultParagraphFont"/>
    <w:unhideWhenUsed/>
    <w:rsid w:val="003E0DD6"/>
    <w:rPr>
      <w:sz w:val="16"/>
      <w:szCs w:val="16"/>
    </w:rPr>
  </w:style>
  <w:style w:type="paragraph" w:styleId="CommentText">
    <w:name w:val="annotation text"/>
    <w:basedOn w:val="Normal"/>
    <w:link w:val="CommentTextChar"/>
    <w:unhideWhenUsed/>
    <w:rsid w:val="003E0DD6"/>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3E0DD6"/>
    <w:rPr>
      <w:rFonts w:ascii="Times New Roman" w:hAnsi="Times New Roman"/>
      <w:sz w:val="20"/>
      <w:szCs w:val="20"/>
    </w:rPr>
  </w:style>
  <w:style w:type="paragraph" w:styleId="BalloonText">
    <w:name w:val="Balloon Text"/>
    <w:basedOn w:val="Normal"/>
    <w:link w:val="BalloonTextChar"/>
    <w:uiPriority w:val="99"/>
    <w:semiHidden/>
    <w:unhideWhenUsed/>
    <w:rsid w:val="003E0D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DD6"/>
    <w:rPr>
      <w:rFonts w:ascii="Segoe UI" w:hAnsi="Segoe UI" w:cs="Segoe UI"/>
      <w:sz w:val="18"/>
      <w:szCs w:val="18"/>
    </w:rPr>
  </w:style>
  <w:style w:type="character" w:styleId="Hyperlink">
    <w:name w:val="Hyperlink"/>
    <w:basedOn w:val="DefaultParagraphFont"/>
    <w:uiPriority w:val="99"/>
    <w:unhideWhenUsed/>
    <w:rsid w:val="002D285D"/>
    <w:rPr>
      <w:color w:val="0000FF"/>
      <w:u w:val="single"/>
    </w:rPr>
  </w:style>
  <w:style w:type="character" w:styleId="Emphasis">
    <w:name w:val="Emphasis"/>
    <w:basedOn w:val="DefaultParagraphFont"/>
    <w:uiPriority w:val="20"/>
    <w:qFormat/>
    <w:rsid w:val="002D285D"/>
    <w:rPr>
      <w:i/>
      <w:iCs/>
    </w:rPr>
  </w:style>
  <w:style w:type="paragraph" w:customStyle="1" w:styleId="Default">
    <w:name w:val="Default"/>
    <w:rsid w:val="00CA1B4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CharCharCharChar">
    <w:name w:val="Char Char Char Char Char Char Char Char Char Char"/>
    <w:basedOn w:val="Normal"/>
    <w:autoRedefine/>
    <w:rsid w:val="004C4DA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qFormat/>
    <w:rsid w:val="001907B1"/>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A21ABD"/>
    <w:rPr>
      <w:rFonts w:ascii="Times New Roman" w:hAnsi="Times New Roman" w:cs="Times New Roman" w:hint="default"/>
      <w:b/>
      <w:bCs/>
      <w:i w:val="0"/>
      <w:iCs w:val="0"/>
      <w:color w:val="000000"/>
      <w:sz w:val="20"/>
      <w:szCs w:val="20"/>
    </w:rPr>
  </w:style>
  <w:style w:type="character" w:customStyle="1" w:styleId="fontstyle31">
    <w:name w:val="fontstyle31"/>
    <w:rsid w:val="00375A85"/>
    <w:rPr>
      <w:rFonts w:ascii="Times New Roman" w:hAnsi="Times New Roman" w:cs="Times New Roman" w:hint="default"/>
      <w:b/>
      <w:bCs/>
      <w:i/>
      <w:iCs/>
      <w:color w:val="000000"/>
      <w:sz w:val="24"/>
      <w:szCs w:val="24"/>
    </w:rPr>
  </w:style>
  <w:style w:type="paragraph" w:customStyle="1" w:styleId="TableParagraph">
    <w:name w:val="Table Paragraph"/>
    <w:basedOn w:val="Normal"/>
    <w:uiPriority w:val="1"/>
    <w:qFormat/>
    <w:rsid w:val="00A22F92"/>
    <w:pPr>
      <w:widowControl w:val="0"/>
      <w:autoSpaceDE w:val="0"/>
      <w:autoSpaceDN w:val="0"/>
      <w:spacing w:after="0" w:line="240" w:lineRule="auto"/>
    </w:pPr>
    <w:rPr>
      <w:rFonts w:ascii="Times New Roman" w:eastAsia="Times New Roman" w:hAnsi="Times New Roman" w:cs="Times New Roman"/>
      <w:lang w:val="vi"/>
    </w:rPr>
  </w:style>
  <w:style w:type="character" w:customStyle="1" w:styleId="Chthchbng">
    <w:name w:val="Chú thích bảng_"/>
    <w:basedOn w:val="DefaultParagraphFont"/>
    <w:link w:val="Chthchbng0"/>
    <w:rsid w:val="00311840"/>
    <w:rPr>
      <w:rFonts w:ascii="Times New Roman" w:eastAsia="Times New Roman" w:hAnsi="Times New Roman" w:cs="Times New Roman"/>
      <w:b/>
      <w:bCs/>
      <w:sz w:val="26"/>
      <w:szCs w:val="26"/>
    </w:rPr>
  </w:style>
  <w:style w:type="paragraph" w:customStyle="1" w:styleId="Chthchbng0">
    <w:name w:val="Chú thích bảng"/>
    <w:basedOn w:val="Normal"/>
    <w:link w:val="Chthchbng"/>
    <w:rsid w:val="00311840"/>
    <w:pPr>
      <w:widowControl w:val="0"/>
      <w:spacing w:after="0" w:line="240" w:lineRule="auto"/>
    </w:pPr>
    <w:rPr>
      <w:rFonts w:ascii="Times New Roman" w:eastAsia="Times New Roman" w:hAnsi="Times New Roman" w:cs="Times New Roman"/>
      <w:b/>
      <w:bCs/>
      <w:sz w:val="26"/>
      <w:szCs w:val="26"/>
    </w:rPr>
  </w:style>
  <w:style w:type="character" w:customStyle="1" w:styleId="Khc">
    <w:name w:val="Khác_"/>
    <w:link w:val="Khc0"/>
    <w:rsid w:val="00311840"/>
    <w:rPr>
      <w:rFonts w:ascii="Times New Roman" w:eastAsia="Times New Roman" w:hAnsi="Times New Roman" w:cs="Times New Roman"/>
      <w:sz w:val="26"/>
      <w:szCs w:val="26"/>
    </w:rPr>
  </w:style>
  <w:style w:type="paragraph" w:customStyle="1" w:styleId="Khc0">
    <w:name w:val="Khác"/>
    <w:basedOn w:val="Normal"/>
    <w:link w:val="Khc"/>
    <w:rsid w:val="00311840"/>
    <w:pPr>
      <w:widowControl w:val="0"/>
      <w:spacing w:after="100"/>
      <w:ind w:firstLine="400"/>
    </w:pPr>
    <w:rPr>
      <w:rFonts w:ascii="Times New Roman" w:eastAsia="Times New Roman" w:hAnsi="Times New Roman" w:cs="Times New Roman"/>
      <w:sz w:val="26"/>
      <w:szCs w:val="26"/>
    </w:rPr>
  </w:style>
  <w:style w:type="paragraph" w:customStyle="1" w:styleId="Char">
    <w:name w:val="Char"/>
    <w:basedOn w:val="Normal"/>
    <w:autoRedefine/>
    <w:rsid w:val="008D371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
    <w:name w:val="Char Char Char Char"/>
    <w:basedOn w:val="Normal"/>
    <w:rsid w:val="009E3BA3"/>
    <w:pPr>
      <w:spacing w:line="240" w:lineRule="exact"/>
    </w:pPr>
    <w:rPr>
      <w:rFonts w:ascii="Verdana" w:eastAsia="Times New Roman" w:hAnsi="Verdana" w:cs="Times New Roman"/>
      <w:sz w:val="20"/>
      <w:szCs w:val="20"/>
    </w:rPr>
  </w:style>
  <w:style w:type="paragraph" w:customStyle="1" w:styleId="CharCharCharCharCharCharChar">
    <w:name w:val="Char Char Char Char Char Char Char"/>
    <w:basedOn w:val="Normal"/>
    <w:rsid w:val="00012C2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2">
    <w:name w:val="Body text (2)_"/>
    <w:link w:val="Bodytext20"/>
    <w:locked/>
    <w:rsid w:val="00122694"/>
    <w:rPr>
      <w:b/>
      <w:bCs/>
      <w:sz w:val="26"/>
      <w:szCs w:val="26"/>
      <w:shd w:val="clear" w:color="auto" w:fill="FFFFFF"/>
    </w:rPr>
  </w:style>
  <w:style w:type="paragraph" w:customStyle="1" w:styleId="Bodytext20">
    <w:name w:val="Body text (2)"/>
    <w:basedOn w:val="Normal"/>
    <w:link w:val="Bodytext2"/>
    <w:rsid w:val="00122694"/>
    <w:pPr>
      <w:widowControl w:val="0"/>
      <w:shd w:val="clear" w:color="auto" w:fill="FFFFFF"/>
      <w:spacing w:after="0" w:line="307" w:lineRule="exact"/>
      <w:jc w:val="both"/>
    </w:pPr>
    <w:rPr>
      <w:b/>
      <w:bCs/>
      <w:sz w:val="26"/>
      <w:szCs w:val="26"/>
    </w:rPr>
  </w:style>
  <w:style w:type="paragraph" w:customStyle="1" w:styleId="ql-align-justify">
    <w:name w:val="ql-align-justify"/>
    <w:basedOn w:val="Normal"/>
    <w:rsid w:val="005800A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rsid w:val="00DD500E"/>
    <w:rPr>
      <w:rFonts w:eastAsia="Times New Roman" w:cs="Times New Roman"/>
      <w:shd w:val="clear" w:color="auto" w:fill="FFFFFF"/>
    </w:rPr>
  </w:style>
  <w:style w:type="paragraph" w:styleId="BodyText">
    <w:name w:val="Body Text"/>
    <w:basedOn w:val="Normal"/>
    <w:link w:val="BodyTextChar"/>
    <w:qFormat/>
    <w:rsid w:val="00DD500E"/>
    <w:pPr>
      <w:widowControl w:val="0"/>
      <w:shd w:val="clear" w:color="auto" w:fill="FFFFFF"/>
      <w:spacing w:after="100" w:line="269" w:lineRule="auto"/>
      <w:ind w:firstLine="400"/>
    </w:pPr>
    <w:rPr>
      <w:rFonts w:eastAsia="Times New Roman" w:cs="Times New Roman"/>
    </w:rPr>
  </w:style>
  <w:style w:type="character" w:customStyle="1" w:styleId="BodyTextChar1">
    <w:name w:val="Body Text Char1"/>
    <w:basedOn w:val="DefaultParagraphFont"/>
    <w:uiPriority w:val="99"/>
    <w:semiHidden/>
    <w:rsid w:val="00DD500E"/>
  </w:style>
  <w:style w:type="character" w:styleId="Strong">
    <w:name w:val="Strong"/>
    <w:basedOn w:val="DefaultParagraphFont"/>
    <w:uiPriority w:val="22"/>
    <w:qFormat/>
    <w:rsid w:val="009E5474"/>
    <w:rPr>
      <w:b/>
      <w:bCs/>
    </w:rPr>
  </w:style>
  <w:style w:type="paragraph" w:styleId="FootnoteText">
    <w:name w:val="footnote text"/>
    <w:aliases w:val="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unhideWhenUsed/>
    <w:qFormat/>
    <w:rsid w:val="00F771BD"/>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 Char Char Char,ft Char"/>
    <w:basedOn w:val="DefaultParagraphFont"/>
    <w:link w:val="FootnoteText"/>
    <w:uiPriority w:val="99"/>
    <w:qFormat/>
    <w:rsid w:val="00F771BD"/>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4"/>
    <w:basedOn w:val="DefaultParagraphFont"/>
    <w:link w:val="RefChar"/>
    <w:uiPriority w:val="99"/>
    <w:unhideWhenUsed/>
    <w:qFormat/>
    <w:rsid w:val="00F771BD"/>
    <w:rPr>
      <w:vertAlign w:val="superscript"/>
    </w:rPr>
  </w:style>
  <w:style w:type="character" w:customStyle="1" w:styleId="text">
    <w:name w:val="text"/>
    <w:basedOn w:val="DefaultParagraphFont"/>
    <w:rsid w:val="00A45224"/>
  </w:style>
  <w:style w:type="character" w:customStyle="1" w:styleId="card-send-timesendtime">
    <w:name w:val="card-send-time__sendtime"/>
    <w:basedOn w:val="DefaultParagraphFont"/>
    <w:rsid w:val="00A45224"/>
  </w:style>
  <w:style w:type="paragraph" w:customStyle="1" w:styleId="chat-box-toolbar-item">
    <w:name w:val="chat-box-toolbar-item"/>
    <w:basedOn w:val="Normal"/>
    <w:rsid w:val="00A452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0C0219"/>
    <w:pPr>
      <w:spacing w:line="240" w:lineRule="exact"/>
    </w:pPr>
    <w:rPr>
      <w:vertAlign w:val="superscript"/>
    </w:rPr>
  </w:style>
  <w:style w:type="paragraph" w:customStyle="1" w:styleId="Normal1">
    <w:name w:val="Normal1"/>
    <w:basedOn w:val="Normal"/>
    <w:rsid w:val="00185E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onormal0">
    <w:name w:val="msonormal0"/>
    <w:basedOn w:val="DefaultParagraphFont"/>
    <w:rsid w:val="008F4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1626">
      <w:bodyDiv w:val="1"/>
      <w:marLeft w:val="0"/>
      <w:marRight w:val="0"/>
      <w:marTop w:val="0"/>
      <w:marBottom w:val="0"/>
      <w:divBdr>
        <w:top w:val="none" w:sz="0" w:space="0" w:color="auto"/>
        <w:left w:val="none" w:sz="0" w:space="0" w:color="auto"/>
        <w:bottom w:val="none" w:sz="0" w:space="0" w:color="auto"/>
        <w:right w:val="none" w:sz="0" w:space="0" w:color="auto"/>
      </w:divBdr>
    </w:div>
    <w:div w:id="37055654">
      <w:bodyDiv w:val="1"/>
      <w:marLeft w:val="0"/>
      <w:marRight w:val="0"/>
      <w:marTop w:val="0"/>
      <w:marBottom w:val="0"/>
      <w:divBdr>
        <w:top w:val="none" w:sz="0" w:space="0" w:color="auto"/>
        <w:left w:val="none" w:sz="0" w:space="0" w:color="auto"/>
        <w:bottom w:val="none" w:sz="0" w:space="0" w:color="auto"/>
        <w:right w:val="none" w:sz="0" w:space="0" w:color="auto"/>
      </w:divBdr>
    </w:div>
    <w:div w:id="534579216">
      <w:bodyDiv w:val="1"/>
      <w:marLeft w:val="0"/>
      <w:marRight w:val="0"/>
      <w:marTop w:val="0"/>
      <w:marBottom w:val="0"/>
      <w:divBdr>
        <w:top w:val="none" w:sz="0" w:space="0" w:color="auto"/>
        <w:left w:val="none" w:sz="0" w:space="0" w:color="auto"/>
        <w:bottom w:val="none" w:sz="0" w:space="0" w:color="auto"/>
        <w:right w:val="none" w:sz="0" w:space="0" w:color="auto"/>
      </w:divBdr>
    </w:div>
    <w:div w:id="742609884">
      <w:bodyDiv w:val="1"/>
      <w:marLeft w:val="0"/>
      <w:marRight w:val="0"/>
      <w:marTop w:val="0"/>
      <w:marBottom w:val="0"/>
      <w:divBdr>
        <w:top w:val="none" w:sz="0" w:space="0" w:color="auto"/>
        <w:left w:val="none" w:sz="0" w:space="0" w:color="auto"/>
        <w:bottom w:val="none" w:sz="0" w:space="0" w:color="auto"/>
        <w:right w:val="none" w:sz="0" w:space="0" w:color="auto"/>
      </w:divBdr>
      <w:divsChild>
        <w:div w:id="1843469883">
          <w:marLeft w:val="0"/>
          <w:marRight w:val="0"/>
          <w:marTop w:val="0"/>
          <w:marBottom w:val="0"/>
          <w:divBdr>
            <w:top w:val="none" w:sz="0" w:space="0" w:color="auto"/>
            <w:left w:val="none" w:sz="0" w:space="0" w:color="auto"/>
            <w:bottom w:val="none" w:sz="0" w:space="0" w:color="auto"/>
            <w:right w:val="none" w:sz="0" w:space="0" w:color="auto"/>
          </w:divBdr>
          <w:divsChild>
            <w:div w:id="1362704437">
              <w:marLeft w:val="0"/>
              <w:marRight w:val="0"/>
              <w:marTop w:val="0"/>
              <w:marBottom w:val="0"/>
              <w:divBdr>
                <w:top w:val="none" w:sz="0" w:space="0" w:color="auto"/>
                <w:left w:val="none" w:sz="0" w:space="0" w:color="auto"/>
                <w:bottom w:val="none" w:sz="0" w:space="0" w:color="auto"/>
                <w:right w:val="none" w:sz="0" w:space="0" w:color="auto"/>
              </w:divBdr>
              <w:divsChild>
                <w:div w:id="1528175780">
                  <w:marLeft w:val="0"/>
                  <w:marRight w:val="0"/>
                  <w:marTop w:val="0"/>
                  <w:marBottom w:val="0"/>
                  <w:divBdr>
                    <w:top w:val="none" w:sz="0" w:space="0" w:color="auto"/>
                    <w:left w:val="none" w:sz="0" w:space="0" w:color="auto"/>
                    <w:bottom w:val="none" w:sz="0" w:space="0" w:color="auto"/>
                    <w:right w:val="none" w:sz="0" w:space="0" w:color="auto"/>
                  </w:divBdr>
                  <w:divsChild>
                    <w:div w:id="449595863">
                      <w:marLeft w:val="0"/>
                      <w:marRight w:val="-105"/>
                      <w:marTop w:val="0"/>
                      <w:marBottom w:val="0"/>
                      <w:divBdr>
                        <w:top w:val="none" w:sz="0" w:space="0" w:color="auto"/>
                        <w:left w:val="none" w:sz="0" w:space="0" w:color="auto"/>
                        <w:bottom w:val="none" w:sz="0" w:space="0" w:color="auto"/>
                        <w:right w:val="none" w:sz="0" w:space="0" w:color="auto"/>
                      </w:divBdr>
                      <w:divsChild>
                        <w:div w:id="766148391">
                          <w:marLeft w:val="0"/>
                          <w:marRight w:val="0"/>
                          <w:marTop w:val="0"/>
                          <w:marBottom w:val="0"/>
                          <w:divBdr>
                            <w:top w:val="none" w:sz="0" w:space="0" w:color="auto"/>
                            <w:left w:val="none" w:sz="0" w:space="0" w:color="auto"/>
                            <w:bottom w:val="none" w:sz="0" w:space="0" w:color="auto"/>
                            <w:right w:val="none" w:sz="0" w:space="0" w:color="auto"/>
                          </w:divBdr>
                          <w:divsChild>
                            <w:div w:id="2118133734">
                              <w:marLeft w:val="0"/>
                              <w:marRight w:val="0"/>
                              <w:marTop w:val="0"/>
                              <w:marBottom w:val="0"/>
                              <w:divBdr>
                                <w:top w:val="none" w:sz="0" w:space="0" w:color="auto"/>
                                <w:left w:val="none" w:sz="0" w:space="0" w:color="auto"/>
                                <w:bottom w:val="none" w:sz="0" w:space="0" w:color="auto"/>
                                <w:right w:val="none" w:sz="0" w:space="0" w:color="auto"/>
                              </w:divBdr>
                              <w:divsChild>
                                <w:div w:id="1708333024">
                                  <w:marLeft w:val="0"/>
                                  <w:marRight w:val="0"/>
                                  <w:marTop w:val="0"/>
                                  <w:marBottom w:val="0"/>
                                  <w:divBdr>
                                    <w:top w:val="none" w:sz="0" w:space="0" w:color="auto"/>
                                    <w:left w:val="none" w:sz="0" w:space="0" w:color="auto"/>
                                    <w:bottom w:val="none" w:sz="0" w:space="0" w:color="auto"/>
                                    <w:right w:val="none" w:sz="0" w:space="0" w:color="auto"/>
                                  </w:divBdr>
                                  <w:divsChild>
                                    <w:div w:id="475805245">
                                      <w:marLeft w:val="750"/>
                                      <w:marRight w:val="0"/>
                                      <w:marTop w:val="0"/>
                                      <w:marBottom w:val="0"/>
                                      <w:divBdr>
                                        <w:top w:val="none" w:sz="0" w:space="0" w:color="auto"/>
                                        <w:left w:val="none" w:sz="0" w:space="0" w:color="auto"/>
                                        <w:bottom w:val="none" w:sz="0" w:space="0" w:color="auto"/>
                                        <w:right w:val="none" w:sz="0" w:space="0" w:color="auto"/>
                                      </w:divBdr>
                                      <w:divsChild>
                                        <w:div w:id="274295066">
                                          <w:marLeft w:val="0"/>
                                          <w:marRight w:val="0"/>
                                          <w:marTop w:val="0"/>
                                          <w:marBottom w:val="0"/>
                                          <w:divBdr>
                                            <w:top w:val="none" w:sz="0" w:space="0" w:color="auto"/>
                                            <w:left w:val="none" w:sz="0" w:space="0" w:color="auto"/>
                                            <w:bottom w:val="none" w:sz="0" w:space="0" w:color="auto"/>
                                            <w:right w:val="none" w:sz="0" w:space="0" w:color="auto"/>
                                          </w:divBdr>
                                          <w:divsChild>
                                            <w:div w:id="895050889">
                                              <w:marLeft w:val="0"/>
                                              <w:marRight w:val="0"/>
                                              <w:marTop w:val="0"/>
                                              <w:marBottom w:val="0"/>
                                              <w:divBdr>
                                                <w:top w:val="none" w:sz="0" w:space="0" w:color="auto"/>
                                                <w:left w:val="none" w:sz="0" w:space="0" w:color="auto"/>
                                                <w:bottom w:val="none" w:sz="0" w:space="0" w:color="auto"/>
                                                <w:right w:val="none" w:sz="0" w:space="0" w:color="auto"/>
                                              </w:divBdr>
                                              <w:divsChild>
                                                <w:div w:id="1784107966">
                                                  <w:marLeft w:val="0"/>
                                                  <w:marRight w:val="0"/>
                                                  <w:marTop w:val="0"/>
                                                  <w:marBottom w:val="0"/>
                                                  <w:divBdr>
                                                    <w:top w:val="none" w:sz="0" w:space="0" w:color="auto"/>
                                                    <w:left w:val="none" w:sz="0" w:space="0" w:color="auto"/>
                                                    <w:bottom w:val="none" w:sz="0" w:space="0" w:color="auto"/>
                                                    <w:right w:val="none" w:sz="0" w:space="0" w:color="auto"/>
                                                  </w:divBdr>
                                                  <w:divsChild>
                                                    <w:div w:id="1210848867">
                                                      <w:marLeft w:val="0"/>
                                                      <w:marRight w:val="0"/>
                                                      <w:marTop w:val="0"/>
                                                      <w:marBottom w:val="0"/>
                                                      <w:divBdr>
                                                        <w:top w:val="none" w:sz="0" w:space="0" w:color="auto"/>
                                                        <w:left w:val="none" w:sz="0" w:space="0" w:color="auto"/>
                                                        <w:bottom w:val="none" w:sz="0" w:space="0" w:color="auto"/>
                                                        <w:right w:val="none" w:sz="0" w:space="0" w:color="auto"/>
                                                      </w:divBdr>
                                                      <w:divsChild>
                                                        <w:div w:id="1295134335">
                                                          <w:marLeft w:val="0"/>
                                                          <w:marRight w:val="0"/>
                                                          <w:marTop w:val="0"/>
                                                          <w:marBottom w:val="0"/>
                                                          <w:divBdr>
                                                            <w:top w:val="none" w:sz="0" w:space="0" w:color="auto"/>
                                                            <w:left w:val="none" w:sz="0" w:space="0" w:color="auto"/>
                                                            <w:bottom w:val="none" w:sz="0" w:space="0" w:color="auto"/>
                                                            <w:right w:val="none" w:sz="0" w:space="0" w:color="auto"/>
                                                          </w:divBdr>
                                                          <w:divsChild>
                                                            <w:div w:id="619000190">
                                                              <w:marLeft w:val="0"/>
                                                              <w:marRight w:val="0"/>
                                                              <w:marTop w:val="0"/>
                                                              <w:marBottom w:val="0"/>
                                                              <w:divBdr>
                                                                <w:top w:val="none" w:sz="0" w:space="0" w:color="auto"/>
                                                                <w:left w:val="none" w:sz="0" w:space="0" w:color="auto"/>
                                                                <w:bottom w:val="none" w:sz="0" w:space="0" w:color="auto"/>
                                                                <w:right w:val="none" w:sz="0" w:space="0" w:color="auto"/>
                                                              </w:divBdr>
                                                              <w:divsChild>
                                                                <w:div w:id="2037656653">
                                                                  <w:marLeft w:val="0"/>
                                                                  <w:marRight w:val="0"/>
                                                                  <w:marTop w:val="0"/>
                                                                  <w:marBottom w:val="0"/>
                                                                  <w:divBdr>
                                                                    <w:top w:val="none" w:sz="0" w:space="0" w:color="auto"/>
                                                                    <w:left w:val="none" w:sz="0" w:space="0" w:color="auto"/>
                                                                    <w:bottom w:val="none" w:sz="0" w:space="0" w:color="auto"/>
                                                                    <w:right w:val="none" w:sz="0" w:space="0" w:color="auto"/>
                                                                  </w:divBdr>
                                                                  <w:divsChild>
                                                                    <w:div w:id="36660061">
                                                                      <w:marLeft w:val="0"/>
                                                                      <w:marRight w:val="0"/>
                                                                      <w:marTop w:val="0"/>
                                                                      <w:marBottom w:val="0"/>
                                                                      <w:divBdr>
                                                                        <w:top w:val="none" w:sz="0" w:space="0" w:color="auto"/>
                                                                        <w:left w:val="none" w:sz="0" w:space="0" w:color="auto"/>
                                                                        <w:bottom w:val="none" w:sz="0" w:space="0" w:color="auto"/>
                                                                        <w:right w:val="none" w:sz="0" w:space="0" w:color="auto"/>
                                                                      </w:divBdr>
                                                                      <w:divsChild>
                                                                        <w:div w:id="192810478">
                                                                          <w:marLeft w:val="0"/>
                                                                          <w:marRight w:val="0"/>
                                                                          <w:marTop w:val="0"/>
                                                                          <w:marBottom w:val="0"/>
                                                                          <w:divBdr>
                                                                            <w:top w:val="none" w:sz="0" w:space="0" w:color="auto"/>
                                                                            <w:left w:val="none" w:sz="0" w:space="0" w:color="auto"/>
                                                                            <w:bottom w:val="none" w:sz="0" w:space="0" w:color="auto"/>
                                                                            <w:right w:val="none" w:sz="0" w:space="0" w:color="auto"/>
                                                                          </w:divBdr>
                                                                          <w:divsChild>
                                                                            <w:div w:id="14158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0881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1613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5066937">
          <w:marLeft w:val="0"/>
          <w:marRight w:val="0"/>
          <w:marTop w:val="0"/>
          <w:marBottom w:val="0"/>
          <w:divBdr>
            <w:top w:val="none" w:sz="0" w:space="0" w:color="auto"/>
            <w:left w:val="none" w:sz="0" w:space="0" w:color="auto"/>
            <w:bottom w:val="none" w:sz="0" w:space="0" w:color="auto"/>
            <w:right w:val="none" w:sz="0" w:space="0" w:color="auto"/>
          </w:divBdr>
          <w:divsChild>
            <w:div w:id="1920866879">
              <w:marLeft w:val="0"/>
              <w:marRight w:val="0"/>
              <w:marTop w:val="0"/>
              <w:marBottom w:val="0"/>
              <w:divBdr>
                <w:top w:val="none" w:sz="0" w:space="0" w:color="auto"/>
                <w:left w:val="none" w:sz="0" w:space="0" w:color="auto"/>
                <w:bottom w:val="none" w:sz="0" w:space="0" w:color="auto"/>
                <w:right w:val="none" w:sz="0" w:space="0" w:color="auto"/>
              </w:divBdr>
              <w:divsChild>
                <w:div w:id="9887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0047">
      <w:bodyDiv w:val="1"/>
      <w:marLeft w:val="0"/>
      <w:marRight w:val="0"/>
      <w:marTop w:val="0"/>
      <w:marBottom w:val="0"/>
      <w:divBdr>
        <w:top w:val="none" w:sz="0" w:space="0" w:color="auto"/>
        <w:left w:val="none" w:sz="0" w:space="0" w:color="auto"/>
        <w:bottom w:val="none" w:sz="0" w:space="0" w:color="auto"/>
        <w:right w:val="none" w:sz="0" w:space="0" w:color="auto"/>
      </w:divBdr>
    </w:div>
    <w:div w:id="1491750477">
      <w:bodyDiv w:val="1"/>
      <w:marLeft w:val="0"/>
      <w:marRight w:val="0"/>
      <w:marTop w:val="0"/>
      <w:marBottom w:val="0"/>
      <w:divBdr>
        <w:top w:val="none" w:sz="0" w:space="0" w:color="auto"/>
        <w:left w:val="none" w:sz="0" w:space="0" w:color="auto"/>
        <w:bottom w:val="none" w:sz="0" w:space="0" w:color="auto"/>
        <w:right w:val="none" w:sz="0" w:space="0" w:color="auto"/>
      </w:divBdr>
    </w:div>
    <w:div w:id="1492600235">
      <w:bodyDiv w:val="1"/>
      <w:marLeft w:val="0"/>
      <w:marRight w:val="0"/>
      <w:marTop w:val="0"/>
      <w:marBottom w:val="0"/>
      <w:divBdr>
        <w:top w:val="none" w:sz="0" w:space="0" w:color="auto"/>
        <w:left w:val="none" w:sz="0" w:space="0" w:color="auto"/>
        <w:bottom w:val="none" w:sz="0" w:space="0" w:color="auto"/>
        <w:right w:val="none" w:sz="0" w:space="0" w:color="auto"/>
      </w:divBdr>
    </w:div>
    <w:div w:id="195246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73CA-2000-4175-A49E-A044C9CB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3628</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12</cp:revision>
  <cp:lastPrinted>2025-12-18T05:25:00Z</cp:lastPrinted>
  <dcterms:created xsi:type="dcterms:W3CDTF">2025-12-17T00:33:00Z</dcterms:created>
  <dcterms:modified xsi:type="dcterms:W3CDTF">2025-12-18T05:25:00Z</dcterms:modified>
</cp:coreProperties>
</file>